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Conceitualização de Caso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Nome</w:t>
      </w:r>
      <w:r w:rsidDel="00000000" w:rsidR="00000000" w:rsidRPr="00000000">
        <w:rPr>
          <w:rtl w:val="0"/>
        </w:rPr>
        <w:t xml:space="preserve">:_______________________</w:t>
        <w:tab/>
      </w:r>
      <w:r w:rsidDel="00000000" w:rsidR="00000000" w:rsidRPr="00000000">
        <w:rPr>
          <w:b w:val="1"/>
          <w:rtl w:val="0"/>
        </w:rPr>
        <w:t xml:space="preserve">Idade</w:t>
      </w:r>
      <w:r w:rsidDel="00000000" w:rsidR="00000000" w:rsidRPr="00000000">
        <w:rPr>
          <w:rtl w:val="0"/>
        </w:rPr>
        <w:t xml:space="preserve">: _____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Queixa principal</w:t>
      </w:r>
      <w:r w:rsidDel="00000000" w:rsidR="00000000" w:rsidRPr="00000000">
        <w:rPr>
          <w:rtl w:val="0"/>
        </w:rPr>
        <w:t xml:space="preserve">: ______________________________________________________________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276"/>
        <w:gridCol w:w="1275"/>
        <w:gridCol w:w="1276"/>
        <w:gridCol w:w="1276"/>
        <w:gridCol w:w="1417"/>
        <w:tblGridChange w:id="0">
          <w:tblGrid>
            <w:gridCol w:w="1980"/>
            <w:gridCol w:w="1276"/>
            <w:gridCol w:w="1275"/>
            <w:gridCol w:w="1276"/>
            <w:gridCol w:w="1276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7cbac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Mapa de Situações por Área da Vida para Conceitualização Cognitiva de Caso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Sugestões de áreas da vida: relacionamento com a família, relacionamentos afetivo-sexuais, relacionamento social, saúde, trabalho, estudos, convivência no trânsito,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Categorias a serem levantadas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Área da vida _____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Área da vida _____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Área da vida _____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Área da vida _____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Área da vida 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Situação 1: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Pensamento Automático (PA):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Significado do PA: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Emoção e Reação fisiológica (RF):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Comportamento: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Situação 2: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Pensamento Automático (PA):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Significado do PA: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Emoção e Reação fisiológica (RF):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Comportamento: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Situação 3: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Pensamento Automático (PA):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Significado do PA: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Emoção e Reação fisiológica (RF):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Comportamento: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Situação 4: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Pensamento Automático (PA):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Significado do PA: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Emoção e Reação fisiológica (RF):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Comportamento: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Situação 5: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Pensamento Automático (PA):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Significado do PA: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Emoção e Reação fisiológica (RF):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Comportamento: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Fonte: Adaptado de Neufeld &amp; Cavenage, 2010.</w:t>
      </w:r>
    </w:p>
    <w:p w:rsidR="00000000" w:rsidDel="00000000" w:rsidP="00000000" w:rsidRDefault="00000000" w:rsidRPr="00000000" w14:paraId="000000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5404"/>
        <w:gridCol w:w="2528"/>
        <w:tblGridChange w:id="0">
          <w:tblGrid>
            <w:gridCol w:w="562"/>
            <w:gridCol w:w="5404"/>
            <w:gridCol w:w="252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Perfil “ADRESSING”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be5d5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Acrônimo para: Idade (Age), Deficiências no desenvolvimento, Deficiências adquiridas mais tarde na vida, Identidade Religiosa e espiritual, Identidade Étnica e racial, Status socioeconômico e profissão, Orientação Sexual, Herança Indígena, Origem Nacional e Gênero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Dimensões ambientais e culturais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Idade e coorte geracional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A ideia de que diferentes gerações têm características, aspirações, interesses e estilos de vida particulares e que influenciam o que atentam e o que acham ser importante.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Deficiências no desenvolvimento: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Ex: Muitas vezes, grupos de indivíduos que nasceram com condições como surdez frequentemente expressam a visão de que representam uma perspectiva e identidade cultural particular.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Deficiências adquiridas mais tarde na vida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Condições crônicas de saúde física ou mental, lesão ou acidente.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Identidade religiosa e espiritual: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Ex.: Sentimentos sobre a importância da família, atitudes com as mulheres e casamento podem ser muito influentes em determinadas identidades religiosas e espirituais.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Identidade étnica e racial: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Importante considerar o fenômeno da imigração, em franco crescimento no mundo. Muitas famílias são compostas de diferentes combinações étnicas e que influenciam como a família se integra em seu novo país.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É comum que crianças nascidas em famílias de migrantes experimentem identidades raciais e étnicas duais ou múltiplas.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Status socioeconômico e profissão: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Definido por educação, renda, ocupação,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Orientação sexual: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Heterossexual, gay, lésbica, bissexual, assexual.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Herança indígena: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Povos originários - que precedem  colonizadores e imigrantes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Nacional: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País e cidade de nascimento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Gênero: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Identidade de gênero que a pessoa se identifica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Fonte: Adaptado de Bennett-Levy et al., 2023 (Original de Hays, 2012).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de pontos fortes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be5d5" w:val="clea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Quais são as áreas de si que o cliente/paciente aprecia?</w:t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Ex.: Hobbies, interesses, atividades diárias.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Fonte: Adaptado de Bennett-Levy et al., 2023, pp. 67 (Original de Padesky &amp; Mooney, 2012).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relevantes da história de vida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Crença central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Crenças Intermediárias / Regras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 compensatórias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Fonte: Adaptado de J. Beck, 2021.</w:t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Esquemas Motivacionais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Atribuição de significado e expectativas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Fonte: Adaptado de A. Beck, 2004.</w:t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Formulação de Caso em cinco partes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</wp:posOffset>
                </wp:positionV>
                <wp:extent cx="5791201" cy="7391401"/>
                <wp:effectExtent b="0" l="0" r="0" t="0"/>
                <wp:wrapNone/>
                <wp:docPr id="15311439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4025" y="77925"/>
                          <a:ext cx="5791201" cy="7391401"/>
                          <a:chOff x="2444025" y="77925"/>
                          <a:chExt cx="5803950" cy="7404150"/>
                        </a:xfrm>
                      </wpg:grpSpPr>
                      <wpg:grpSp>
                        <wpg:cNvGrpSpPr/>
                        <wpg:grpSpPr>
                          <a:xfrm>
                            <a:off x="2450400" y="84300"/>
                            <a:ext cx="5791201" cy="7391401"/>
                            <a:chOff x="0" y="0"/>
                            <a:chExt cx="5791201" cy="739140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91200" cy="739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791201" cy="7391401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53734" y="448735"/>
                              <a:ext cx="1219200" cy="306915"/>
                            </a:xfrm>
                            <a:prstGeom prst="rect">
                              <a:avLst/>
                            </a:prstGeom>
                            <a:solidFill>
                              <a:srgbClr val="FBE4D4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AMBIENTE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51000" y="963771"/>
                              <a:ext cx="2442845" cy="615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Situação desencadeante imediata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79034" y="1834653"/>
                              <a:ext cx="2768600" cy="16002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400300" y="1964268"/>
                              <a:ext cx="106680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Pensamentos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79034" y="5224202"/>
                              <a:ext cx="2768600" cy="160020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40267" y="3435990"/>
                              <a:ext cx="1913467" cy="1788211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572934" y="3447427"/>
                              <a:ext cx="1913467" cy="1788211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1270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19666" y="3709071"/>
                              <a:ext cx="153670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Sensações corporais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298702" y="5382714"/>
                              <a:ext cx="1274445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Comportamentos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801530" y="3782514"/>
                              <a:ext cx="153670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Emoções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 rot="-3608910">
                              <a:off x="211775" y="2350020"/>
                              <a:ext cx="1388110" cy="561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História do desenvolvimento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 rot="3471346">
                              <a:off x="4551934" y="2403920"/>
                              <a:ext cx="1066800" cy="561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Genética e saúde física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787401" y="5382715"/>
                              <a:ext cx="736601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 rot="3158606">
                              <a:off x="409858" y="5521213"/>
                              <a:ext cx="106680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Cultura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 rot="-2962065">
                              <a:off x="4348818" y="5428880"/>
                              <a:ext cx="1136015" cy="561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Espiritualidade e religião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1701801" y="3209204"/>
                              <a:ext cx="203200" cy="22564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23401" y="5171176"/>
                              <a:ext cx="182617" cy="20664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937640" y="3247561"/>
                              <a:ext cx="182617" cy="20664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018657" y="5217216"/>
                              <a:ext cx="203200" cy="22564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63334" y="3921014"/>
                              <a:ext cx="0" cy="81185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582334" y="4326941"/>
                              <a:ext cx="76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887134" y="1638300"/>
                              <a:ext cx="0" cy="188386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63500</wp:posOffset>
                </wp:positionV>
                <wp:extent cx="5791201" cy="7391401"/>
                <wp:effectExtent b="0" l="0" r="0" t="0"/>
                <wp:wrapNone/>
                <wp:docPr id="153114399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1" cy="73914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38100</wp:posOffset>
                </wp:positionV>
                <wp:extent cx="1851025" cy="386715"/>
                <wp:effectExtent b="0" l="0" r="0" t="0"/>
                <wp:wrapNone/>
                <wp:docPr id="153114399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425250" y="3591405"/>
                          <a:ext cx="18415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38100</wp:posOffset>
                </wp:positionV>
                <wp:extent cx="1851025" cy="386715"/>
                <wp:effectExtent b="0" l="0" r="0" t="0"/>
                <wp:wrapNone/>
                <wp:docPr id="153114399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Fonte: Adaptado de Bennett-Levy et al., 2023, pp. 58 (Original de Center of Cognitive Therapy; www.padesky.com.)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Referências</w:t>
      </w:r>
    </w:p>
    <w:p w:rsidR="00000000" w:rsidDel="00000000" w:rsidP="00000000" w:rsidRDefault="00000000" w:rsidRPr="00000000" w14:paraId="00000139">
      <w:pPr>
        <w:ind w:left="851" w:hanging="85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Beck, A. T. (2005). Além da crença: uma teoria de modos, personalidade e psicopatologia. Fronteiras da terapia cognitiva, 21-40.</w:t>
      </w:r>
    </w:p>
    <w:p w:rsidR="00000000" w:rsidDel="00000000" w:rsidP="00000000" w:rsidRDefault="00000000" w:rsidRPr="00000000" w14:paraId="0000013A">
      <w:pPr>
        <w:ind w:left="851" w:hanging="85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Beck, J. (2021). Terapia cognitivo-comportamental. 3ª Edição. Porto Alegre: Artmed.</w:t>
      </w:r>
    </w:p>
    <w:p w:rsidR="00000000" w:rsidDel="00000000" w:rsidP="00000000" w:rsidRDefault="00000000" w:rsidRPr="00000000" w14:paraId="0000013B">
      <w:pPr>
        <w:ind w:left="851" w:hanging="851"/>
        <w:rPr/>
      </w:pPr>
      <w:r w:rsidDel="00000000" w:rsidR="00000000" w:rsidRPr="00000000">
        <w:rPr>
          <w:rtl w:val="0"/>
        </w:rPr>
        <w:t xml:space="preserve">Bennett-Levy, J., Thwaites, R., Haarhoff, B., &amp; Perry, H. (2023). </w:t>
      </w:r>
      <w:r w:rsidDel="00000000" w:rsidR="00000000" w:rsidRPr="00000000">
        <w:rPr>
          <w:i w:val="1"/>
          <w:rtl w:val="0"/>
        </w:rPr>
        <w:t xml:space="preserve">Experimentando a terapia cognitivo-comportamental de dentro para fora</w:t>
      </w:r>
      <w:r w:rsidDel="00000000" w:rsidR="00000000" w:rsidRPr="00000000">
        <w:rPr>
          <w:rtl w:val="0"/>
        </w:rPr>
        <w:t xml:space="preserve">: um manual de autoprática/autorreflexão para terapeutas. Porto Alegre: Artmed.</w:t>
      </w:r>
    </w:p>
    <w:p w:rsidR="00000000" w:rsidDel="00000000" w:rsidP="00000000" w:rsidRDefault="00000000" w:rsidRPr="00000000" w14:paraId="0000013C">
      <w:pPr>
        <w:ind w:left="851" w:hanging="851"/>
        <w:rPr/>
      </w:pPr>
      <w:r w:rsidDel="00000000" w:rsidR="00000000" w:rsidRPr="00000000">
        <w:rPr>
          <w:rtl w:val="0"/>
        </w:rPr>
        <w:t xml:space="preserve">Neufeld, C. B., &amp; Cavenage, C. C. (2010). Conceitualização cognitiva de caso: uma proposta de sistematização a partir da prática clínica e da formação de terapeutas cognitivo-comportamentais. </w:t>
      </w:r>
      <w:r w:rsidDel="00000000" w:rsidR="00000000" w:rsidRPr="00000000">
        <w:rPr>
          <w:i w:val="1"/>
          <w:rtl w:val="0"/>
        </w:rPr>
        <w:t xml:space="preserve">Revista Brasileira de Terapias Cognitivas</w:t>
      </w:r>
      <w:r w:rsidDel="00000000" w:rsidR="00000000" w:rsidRPr="00000000">
        <w:rPr>
          <w:rtl w:val="0"/>
        </w:rPr>
        <w:t xml:space="preserve">, 6(2), 3-36.</w:t>
      </w:r>
    </w:p>
    <w:p w:rsidR="00000000" w:rsidDel="00000000" w:rsidP="00000000" w:rsidRDefault="00000000" w:rsidRPr="00000000" w14:paraId="0000013D">
      <w:pPr>
        <w:ind w:left="851" w:hanging="851"/>
        <w:rPr/>
      </w:pPr>
      <w:r w:rsidDel="00000000" w:rsidR="00000000" w:rsidRPr="00000000">
        <w:rPr>
          <w:rtl w:val="0"/>
        </w:rPr>
        <w:t xml:space="preserve">Hays, P. A. (2012) Connecting across cultures: The helper’s toolkit. Thousand Oaks, CA: Sage.</w:t>
      </w:r>
    </w:p>
    <w:p w:rsidR="00000000" w:rsidDel="00000000" w:rsidP="00000000" w:rsidRDefault="00000000" w:rsidRPr="00000000" w14:paraId="0000013E">
      <w:pPr>
        <w:ind w:left="851" w:hanging="851"/>
        <w:rPr/>
      </w:pPr>
      <w:r w:rsidDel="00000000" w:rsidR="00000000" w:rsidRPr="00000000">
        <w:rPr>
          <w:rtl w:val="0"/>
        </w:rPr>
        <w:t xml:space="preserve">Padesky, C. A., &amp; Mooney, K. A. (2012). Strengths-based cognitive-behavioural therapy: a four-step model to build resilience. </w:t>
      </w:r>
      <w:r w:rsidDel="00000000" w:rsidR="00000000" w:rsidRPr="00000000">
        <w:rPr>
          <w:i w:val="1"/>
          <w:rtl w:val="0"/>
        </w:rPr>
        <w:t xml:space="preserve">Clinical Psychology and Psychotherapy, </w:t>
      </w:r>
      <w:r w:rsidDel="00000000" w:rsidR="00000000" w:rsidRPr="00000000">
        <w:rPr>
          <w:rtl w:val="0"/>
        </w:rPr>
        <w:t xml:space="preserve">19, 283-290.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851" w:hanging="85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EspaoReservado" w:customStyle="1">
    <w:name w:val="Texto de Espaço Reservado"/>
    <w:basedOn w:val="Fontepargpadro"/>
    <w:uiPriority w:val="99"/>
    <w:semiHidden w:val="1"/>
    <w:rsid w:val="00066BD4"/>
    <w:rPr>
      <w:color w:val="808080"/>
    </w:rPr>
  </w:style>
  <w:style w:type="table" w:styleId="Tabelacomgrade">
    <w:name w:val="Table Grid"/>
    <w:basedOn w:val="Tabelanormal"/>
    <w:uiPriority w:val="39"/>
    <w:rsid w:val="00066B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7369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3699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36996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4jR8FkjYPPLJ8Ov2/U3eDf55yA==">CgMxLjA4AHIZaWQ6TTF4VDVma1NJckFBQUFBQUFBRFNYUQ==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2023-09-26T20:20:00Z</dcterms:created>
  <dc:creator>Beatriz Lobo</dc:creator>
</cp:coreProperties>
</file>