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3D07" w14:textId="77777777" w:rsidR="00776E7C" w:rsidRPr="00033234" w:rsidRDefault="00776E7C" w:rsidP="002F06AE">
      <w:pPr>
        <w:spacing w:line="360" w:lineRule="auto"/>
        <w:ind w:right="142" w:firstLine="851"/>
        <w:jc w:val="both"/>
        <w:rPr>
          <w:rFonts w:asciiTheme="minorHAnsi" w:hAnsiTheme="minorHAnsi" w:cstheme="minorHAnsi"/>
          <w:sz w:val="22"/>
          <w:szCs w:val="22"/>
        </w:rPr>
      </w:pPr>
    </w:p>
    <w:p w14:paraId="48AD4A64" w14:textId="77777777" w:rsidR="006438F3" w:rsidRDefault="00776E7C" w:rsidP="002F06AE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5E6EC4">
        <w:rPr>
          <w:rFonts w:asciiTheme="minorHAnsi" w:hAnsiTheme="minorHAnsi" w:cstheme="minorHAnsi"/>
          <w:b/>
          <w:bCs/>
          <w:sz w:val="22"/>
          <w:szCs w:val="22"/>
        </w:rPr>
        <w:t xml:space="preserve">GABARITO </w:t>
      </w:r>
      <w:r w:rsidR="006438F3" w:rsidRPr="005E6EC4">
        <w:rPr>
          <w:rFonts w:asciiTheme="minorHAnsi" w:hAnsiTheme="minorHAnsi" w:cstheme="minorHAnsi"/>
          <w:b/>
          <w:bCs/>
          <w:sz w:val="22"/>
          <w:szCs w:val="22"/>
        </w:rPr>
        <w:t>HC – todos</w:t>
      </w:r>
      <w:r w:rsidR="006438F3">
        <w:rPr>
          <w:rFonts w:asciiTheme="minorHAnsi" w:hAnsiTheme="minorHAnsi" w:cstheme="minorHAnsi"/>
          <w:b/>
          <w:bCs/>
          <w:sz w:val="22"/>
          <w:szCs w:val="22"/>
        </w:rPr>
        <w:t xml:space="preserve"> os grupos</w:t>
      </w:r>
    </w:p>
    <w:p w14:paraId="49B0F1CC" w14:textId="77777777" w:rsidR="006438F3" w:rsidRDefault="006438F3" w:rsidP="002F06AE">
      <w:pPr>
        <w:spacing w:line="360" w:lineRule="auto"/>
        <w:ind w:righ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F625D1" w14:textId="7CB18025" w:rsidR="00776E7C" w:rsidRPr="00033234" w:rsidRDefault="00776E7C" w:rsidP="002F06AE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sz w:val="22"/>
          <w:szCs w:val="22"/>
        </w:rPr>
        <w:t xml:space="preserve">Verificar: (i) correto endereçamento; (ii) correto fundamento legal; (iii) se deixou claro o </w:t>
      </w:r>
      <w:r w:rsidR="006438F3">
        <w:rPr>
          <w:rFonts w:asciiTheme="minorHAnsi" w:hAnsiTheme="minorHAnsi" w:cstheme="minorHAnsi"/>
          <w:sz w:val="22"/>
          <w:szCs w:val="22"/>
        </w:rPr>
        <w:t>qual  o ato coator</w:t>
      </w:r>
      <w:r w:rsidRPr="00033234">
        <w:rPr>
          <w:rFonts w:asciiTheme="minorHAnsi" w:hAnsiTheme="minorHAnsi" w:cstheme="minorHAnsi"/>
          <w:sz w:val="22"/>
          <w:szCs w:val="22"/>
        </w:rPr>
        <w:t>.</w:t>
      </w:r>
    </w:p>
    <w:p w14:paraId="7B157A98" w14:textId="77777777" w:rsidR="00776E7C" w:rsidRPr="00033234" w:rsidRDefault="00776E7C" w:rsidP="002F06AE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 xml:space="preserve">ASPECTOS GERAIS: </w:t>
      </w:r>
      <w:r w:rsidRPr="00033234">
        <w:rPr>
          <w:rFonts w:asciiTheme="minorHAnsi" w:hAnsiTheme="minorHAnsi" w:cstheme="minorHAnsi"/>
          <w:sz w:val="22"/>
          <w:szCs w:val="22"/>
        </w:rPr>
        <w:t>Boa argumentação, clareza dos argumentos, divisão em tópicos e coerência lógica da peça: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 xml:space="preserve"> 2,0 pontos</w:t>
      </w:r>
      <w:r w:rsidRPr="000332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0D17DA" w14:textId="04EFBCB4" w:rsidR="00776E7C" w:rsidRPr="00033234" w:rsidRDefault="00776E7C" w:rsidP="002F06AE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REGULARIDADE FORMAL:</w:t>
      </w:r>
      <w:r w:rsidRPr="00033234">
        <w:rPr>
          <w:rFonts w:asciiTheme="minorHAnsi" w:hAnsiTheme="minorHAnsi" w:cstheme="minorHAnsi"/>
          <w:sz w:val="22"/>
          <w:szCs w:val="22"/>
        </w:rPr>
        <w:t xml:space="preserve"> A petição deve ter o correto endereçamento ao Presidente do TJSP 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1,0 ponto</w:t>
      </w:r>
      <w:r w:rsidRPr="00033234">
        <w:rPr>
          <w:rFonts w:asciiTheme="minorHAnsi" w:hAnsiTheme="minorHAnsi" w:cstheme="minorHAnsi"/>
          <w:sz w:val="22"/>
          <w:szCs w:val="22"/>
        </w:rPr>
        <w:t xml:space="preserve">), </w:t>
      </w:r>
      <w:r w:rsidR="006438F3">
        <w:rPr>
          <w:rFonts w:asciiTheme="minorHAnsi" w:hAnsiTheme="minorHAnsi" w:cstheme="minorHAnsi"/>
          <w:sz w:val="22"/>
          <w:szCs w:val="22"/>
        </w:rPr>
        <w:t>identificação clara de quem e o impetrante, quem é o paciente e quem é a autoridade coatora,</w:t>
      </w:r>
      <w:r w:rsidRPr="00033234">
        <w:rPr>
          <w:rFonts w:asciiTheme="minorHAnsi" w:hAnsiTheme="minorHAnsi" w:cstheme="minorHAnsi"/>
          <w:sz w:val="22"/>
          <w:szCs w:val="22"/>
        </w:rPr>
        <w:t xml:space="preserve"> </w:t>
      </w:r>
      <w:r w:rsidR="006438F3">
        <w:rPr>
          <w:rFonts w:asciiTheme="minorHAnsi" w:hAnsiTheme="minorHAnsi" w:cstheme="minorHAnsi"/>
          <w:sz w:val="22"/>
          <w:szCs w:val="22"/>
        </w:rPr>
        <w:t xml:space="preserve">indicação de que já há constrangimento ilegal pela prisão </w:t>
      </w:r>
      <w:r w:rsidRPr="00033234">
        <w:rPr>
          <w:rFonts w:asciiTheme="minorHAnsi" w:hAnsiTheme="minorHAnsi" w:cstheme="minorHAnsi"/>
          <w:sz w:val="22"/>
          <w:szCs w:val="22"/>
        </w:rPr>
        <w:t>(</w:t>
      </w:r>
      <w:r w:rsidR="006438F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,0</w:t>
      </w:r>
      <w:r w:rsidRPr="00033234">
        <w:rPr>
          <w:rFonts w:asciiTheme="minorHAnsi" w:hAnsiTheme="minorHAnsi" w:cstheme="minorHAnsi"/>
          <w:sz w:val="22"/>
          <w:szCs w:val="22"/>
        </w:rPr>
        <w:t xml:space="preserve"> 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ponto</w:t>
      </w:r>
      <w:r w:rsidRPr="00033234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B58B8C6" w14:textId="2E75AD07" w:rsidR="00776E7C" w:rsidRPr="00033234" w:rsidRDefault="00776E7C" w:rsidP="002F06AE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MÉRITO:</w:t>
      </w:r>
      <w:r w:rsidR="002F06AE">
        <w:rPr>
          <w:rFonts w:asciiTheme="minorHAnsi" w:hAnsiTheme="minorHAnsi" w:cstheme="minorHAnsi"/>
          <w:sz w:val="22"/>
          <w:szCs w:val="22"/>
        </w:rPr>
        <w:t xml:space="preserve"> (i) </w:t>
      </w:r>
      <w:r w:rsidRPr="00033234">
        <w:rPr>
          <w:rFonts w:asciiTheme="minorHAnsi" w:hAnsiTheme="minorHAnsi" w:cstheme="minorHAnsi"/>
          <w:sz w:val="22"/>
          <w:szCs w:val="22"/>
        </w:rPr>
        <w:t>tese</w:t>
      </w:r>
      <w:r w:rsidR="002F06AE">
        <w:rPr>
          <w:rFonts w:asciiTheme="minorHAnsi" w:hAnsiTheme="minorHAnsi" w:cstheme="minorHAnsi"/>
          <w:sz w:val="22"/>
          <w:szCs w:val="22"/>
        </w:rPr>
        <w:t xml:space="preserve"> </w:t>
      </w:r>
      <w:r w:rsidR="006438F3">
        <w:rPr>
          <w:rFonts w:asciiTheme="minorHAnsi" w:hAnsiTheme="minorHAnsi" w:cstheme="minorHAnsi"/>
          <w:sz w:val="22"/>
          <w:szCs w:val="22"/>
        </w:rPr>
        <w:t>do constrangimento ilegal</w:t>
      </w:r>
      <w:r w:rsidRPr="00033234">
        <w:rPr>
          <w:rFonts w:asciiTheme="minorHAnsi" w:hAnsiTheme="minorHAnsi" w:cstheme="minorHAnsi"/>
          <w:sz w:val="22"/>
          <w:szCs w:val="22"/>
        </w:rPr>
        <w:t xml:space="preserve">: </w:t>
      </w:r>
      <w:r w:rsidR="006438F3">
        <w:rPr>
          <w:rFonts w:asciiTheme="minorHAnsi" w:hAnsiTheme="minorHAnsi" w:cstheme="minorHAnsi"/>
          <w:sz w:val="22"/>
          <w:szCs w:val="22"/>
        </w:rPr>
        <w:t xml:space="preserve">(i) o flagrante era ilegal e deveria ser relaxado, porque o crime de corrupção passiva se consumou no dia da solicitação da vantagem, e não quatro dias depois quando houve o pagamento e a prisão em flagrante delito </w:t>
      </w:r>
      <w:r w:rsidR="006438F3" w:rsidRPr="006438F3">
        <w:rPr>
          <w:rFonts w:asciiTheme="minorHAnsi" w:hAnsiTheme="minorHAnsi" w:cstheme="minorHAnsi"/>
          <w:b/>
          <w:bCs/>
          <w:sz w:val="22"/>
          <w:szCs w:val="22"/>
        </w:rPr>
        <w:t>(1,0 ponto)</w:t>
      </w:r>
      <w:r w:rsidR="002F06AE">
        <w:rPr>
          <w:rFonts w:asciiTheme="minorHAnsi" w:hAnsiTheme="minorHAnsi" w:cstheme="minorHAnsi"/>
          <w:sz w:val="22"/>
          <w:szCs w:val="22"/>
        </w:rPr>
        <w:t xml:space="preserve">; (ii) </w:t>
      </w:r>
      <w:r w:rsidR="006438F3">
        <w:rPr>
          <w:rFonts w:asciiTheme="minorHAnsi" w:hAnsiTheme="minorHAnsi" w:cstheme="minorHAnsi"/>
          <w:sz w:val="22"/>
          <w:szCs w:val="22"/>
        </w:rPr>
        <w:t xml:space="preserve">tendo o Ministério Público requerido a decretação de medida cautelar alternativa à prisão, o juiz não poderia decretar a prisão preventiva, o que significa a imposição de medida cautelar ex officio, vedado pelo art. 282, § 2º, </w:t>
      </w:r>
      <w:r w:rsidR="00C31D95">
        <w:rPr>
          <w:rFonts w:asciiTheme="minorHAnsi" w:hAnsiTheme="minorHAnsi" w:cstheme="minorHAnsi"/>
          <w:sz w:val="22"/>
          <w:szCs w:val="22"/>
        </w:rPr>
        <w:t xml:space="preserve">e art. 311, </w:t>
      </w:r>
      <w:r w:rsidR="00C31D95">
        <w:rPr>
          <w:rFonts w:asciiTheme="minorHAnsi" w:hAnsiTheme="minorHAnsi" w:cstheme="minorHAnsi"/>
          <w:i/>
          <w:iCs/>
          <w:sz w:val="22"/>
          <w:szCs w:val="22"/>
        </w:rPr>
        <w:t>caput</w:t>
      </w:r>
      <w:r w:rsidR="00C31D95">
        <w:rPr>
          <w:rFonts w:asciiTheme="minorHAnsi" w:hAnsiTheme="minorHAnsi" w:cstheme="minorHAnsi"/>
          <w:sz w:val="22"/>
          <w:szCs w:val="22"/>
        </w:rPr>
        <w:t xml:space="preserve">, ambos </w:t>
      </w:r>
      <w:r w:rsidR="006438F3">
        <w:rPr>
          <w:rFonts w:asciiTheme="minorHAnsi" w:hAnsiTheme="minorHAnsi" w:cstheme="minorHAnsi"/>
          <w:sz w:val="22"/>
          <w:szCs w:val="22"/>
        </w:rPr>
        <w:t>do CPP</w:t>
      </w:r>
      <w:r w:rsidR="00C31D95">
        <w:rPr>
          <w:rFonts w:asciiTheme="minorHAnsi" w:hAnsiTheme="minorHAnsi" w:cstheme="minorHAnsi"/>
          <w:sz w:val="22"/>
          <w:szCs w:val="22"/>
        </w:rPr>
        <w:t xml:space="preserve">; citar jurisprudência (STJ, </w:t>
      </w:r>
      <w:r w:rsidR="006438F3">
        <w:rPr>
          <w:rFonts w:asciiTheme="minorHAnsi" w:hAnsiTheme="minorHAnsi" w:cstheme="minorHAnsi"/>
          <w:sz w:val="22"/>
          <w:szCs w:val="22"/>
        </w:rPr>
        <w:t xml:space="preserve"> </w:t>
      </w:r>
      <w:r w:rsidR="00C31D95">
        <w:rPr>
          <w:rFonts w:asciiTheme="minorHAnsi" w:hAnsiTheme="minorHAnsi" w:cstheme="minorHAnsi"/>
          <w:sz w:val="22"/>
          <w:szCs w:val="22"/>
        </w:rPr>
        <w:t xml:space="preserve">RHC 131.263/GO, 3ª Seção, rel. Min. Sebastião Reis Jr., j. 24.02.2021, m.v.) </w:t>
      </w:r>
      <w:r w:rsidR="006438F3" w:rsidRPr="006438F3">
        <w:rPr>
          <w:rFonts w:asciiTheme="minorHAnsi" w:hAnsiTheme="minorHAnsi" w:cstheme="minorHAnsi"/>
          <w:b/>
          <w:bCs/>
          <w:sz w:val="22"/>
          <w:szCs w:val="22"/>
        </w:rPr>
        <w:t>(2,0 pontos)</w:t>
      </w:r>
      <w:r w:rsidR="002F06AE">
        <w:rPr>
          <w:rFonts w:asciiTheme="minorHAnsi" w:hAnsiTheme="minorHAnsi" w:cstheme="minorHAnsi"/>
          <w:sz w:val="22"/>
          <w:szCs w:val="22"/>
        </w:rPr>
        <w:t>; e (</w:t>
      </w:r>
      <w:r w:rsidR="006438F3">
        <w:rPr>
          <w:rFonts w:asciiTheme="minorHAnsi" w:hAnsiTheme="minorHAnsi" w:cstheme="minorHAnsi"/>
          <w:sz w:val="22"/>
          <w:szCs w:val="22"/>
        </w:rPr>
        <w:t>iii</w:t>
      </w:r>
      <w:r w:rsidR="002F06AE">
        <w:rPr>
          <w:rFonts w:asciiTheme="minorHAnsi" w:hAnsiTheme="minorHAnsi" w:cstheme="minorHAnsi"/>
          <w:sz w:val="22"/>
          <w:szCs w:val="22"/>
        </w:rPr>
        <w:t xml:space="preserve">) </w:t>
      </w:r>
      <w:r w:rsidR="006438F3">
        <w:rPr>
          <w:rFonts w:asciiTheme="minorHAnsi" w:hAnsiTheme="minorHAnsi" w:cstheme="minorHAnsi"/>
          <w:sz w:val="22"/>
          <w:szCs w:val="22"/>
        </w:rPr>
        <w:t>pedir liminar para suspender os efeitos da decisão, permitindo que o Paciente aguarde em liberdade até o julgamento do mérito do habeas corpus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6438F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,0 pontos).</w:t>
      </w:r>
      <w:r w:rsidRPr="000332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A21C95" w14:textId="547E72E3" w:rsidR="00776E7C" w:rsidRDefault="00776E7C" w:rsidP="00EB140F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PEDIDO:</w:t>
      </w:r>
      <w:r w:rsidRPr="00033234">
        <w:rPr>
          <w:rFonts w:asciiTheme="minorHAnsi" w:hAnsiTheme="minorHAnsi" w:cstheme="minorHAnsi"/>
          <w:sz w:val="22"/>
          <w:szCs w:val="22"/>
        </w:rPr>
        <w:t xml:space="preserve"> </w:t>
      </w:r>
      <w:r w:rsidR="006438F3">
        <w:rPr>
          <w:rFonts w:asciiTheme="minorHAnsi" w:hAnsiTheme="minorHAnsi" w:cstheme="minorHAnsi"/>
          <w:sz w:val="22"/>
          <w:szCs w:val="22"/>
        </w:rPr>
        <w:t>concessão da ordem de habeas corpus para</w:t>
      </w:r>
      <w:r w:rsidRPr="00033234">
        <w:rPr>
          <w:rFonts w:asciiTheme="minorHAnsi" w:hAnsiTheme="minorHAnsi" w:cstheme="minorHAnsi"/>
          <w:sz w:val="22"/>
          <w:szCs w:val="22"/>
        </w:rPr>
        <w:t xml:space="preserve">: (i) </w:t>
      </w:r>
      <w:r w:rsidR="006438F3">
        <w:rPr>
          <w:rFonts w:asciiTheme="minorHAnsi" w:hAnsiTheme="minorHAnsi" w:cstheme="minorHAnsi"/>
          <w:sz w:val="22"/>
          <w:szCs w:val="22"/>
        </w:rPr>
        <w:t>reconhecer a ilegalidade da prisão, com a revogação da decisão que a decretou e a consequente expedição de alvará de soltura</w:t>
      </w:r>
      <w:r w:rsidR="002F06AE">
        <w:rPr>
          <w:rFonts w:asciiTheme="minorHAnsi" w:hAnsiTheme="minorHAnsi" w:cstheme="minorHAnsi"/>
          <w:sz w:val="22"/>
          <w:szCs w:val="22"/>
        </w:rPr>
        <w:t xml:space="preserve">  </w:t>
      </w:r>
      <w:r w:rsidRPr="00033234">
        <w:rPr>
          <w:rFonts w:asciiTheme="minorHAnsi" w:hAnsiTheme="minorHAnsi" w:cstheme="minorHAnsi"/>
          <w:sz w:val="22"/>
          <w:szCs w:val="22"/>
        </w:rPr>
        <w:t>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2,0 pontos</w:t>
      </w:r>
      <w:r w:rsidRPr="00033234">
        <w:rPr>
          <w:rFonts w:asciiTheme="minorHAnsi" w:hAnsiTheme="minorHAnsi" w:cstheme="minorHAnsi"/>
          <w:sz w:val="22"/>
          <w:szCs w:val="22"/>
        </w:rPr>
        <w:t>)</w:t>
      </w:r>
      <w:r w:rsidR="002A7EF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5A2BEA" w14:textId="77777777" w:rsidR="00540945" w:rsidRPr="002F06AE" w:rsidRDefault="00540945" w:rsidP="00EB140F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sectPr w:rsidR="00540945" w:rsidRPr="002F06AE" w:rsidSect="005623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7C"/>
    <w:rsid w:val="00033234"/>
    <w:rsid w:val="002A7EFB"/>
    <w:rsid w:val="002F06AE"/>
    <w:rsid w:val="004F6EE5"/>
    <w:rsid w:val="00540945"/>
    <w:rsid w:val="005E6EC4"/>
    <w:rsid w:val="006438F3"/>
    <w:rsid w:val="00776E7C"/>
    <w:rsid w:val="00C31D95"/>
    <w:rsid w:val="00EB140F"/>
    <w:rsid w:val="00E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DDB3"/>
  <w15:chartTrackingRefBased/>
  <w15:docId w15:val="{5EEFE3EA-18B2-4707-BD55-3949B67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3 - SML</dc:creator>
  <cp:keywords/>
  <dc:description/>
  <cp:lastModifiedBy>Gustavo Badaró | Badaró Advogados</cp:lastModifiedBy>
  <cp:revision>5</cp:revision>
  <dcterms:created xsi:type="dcterms:W3CDTF">2023-06-06T12:48:00Z</dcterms:created>
  <dcterms:modified xsi:type="dcterms:W3CDTF">2023-06-06T13:02:00Z</dcterms:modified>
</cp:coreProperties>
</file>