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3D07" w14:textId="77777777" w:rsidR="00776E7C" w:rsidRPr="00033234" w:rsidRDefault="00776E7C" w:rsidP="002F06AE">
      <w:pPr>
        <w:spacing w:line="360" w:lineRule="auto"/>
        <w:ind w:right="142"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274C21E4" w14:textId="77777777" w:rsidR="00776E7C" w:rsidRPr="00033234" w:rsidRDefault="00776E7C" w:rsidP="002F06AE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GABARITO GRUPO DEFESA</w:t>
      </w:r>
      <w:r w:rsidRPr="00033234">
        <w:rPr>
          <w:rFonts w:asciiTheme="minorHAnsi" w:hAnsiTheme="minorHAnsi" w:cstheme="minorHAnsi"/>
          <w:sz w:val="22"/>
          <w:szCs w:val="22"/>
        </w:rPr>
        <w:t>:</w:t>
      </w:r>
    </w:p>
    <w:p w14:paraId="2EBCF455" w14:textId="77777777" w:rsidR="00776E7C" w:rsidRPr="00033234" w:rsidRDefault="00776E7C" w:rsidP="002F06AE">
      <w:pPr>
        <w:spacing w:line="360" w:lineRule="auto"/>
        <w:ind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AREsp</w:t>
      </w:r>
    </w:p>
    <w:p w14:paraId="21F625D1" w14:textId="77777777" w:rsidR="00776E7C" w:rsidRPr="00033234" w:rsidRDefault="00776E7C" w:rsidP="002F06AE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sz w:val="22"/>
          <w:szCs w:val="22"/>
        </w:rPr>
        <w:t>Verificar: (i) correto endereçamento; (ii) correto fundamento legal; (iii) se deixou claro o âmbito de impugnação do recurso.</w:t>
      </w:r>
    </w:p>
    <w:p w14:paraId="7B157A98" w14:textId="77777777" w:rsidR="00776E7C" w:rsidRPr="00033234" w:rsidRDefault="00776E7C" w:rsidP="002F06AE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 xml:space="preserve">ASPECTOS GERAIS: </w:t>
      </w:r>
      <w:r w:rsidRPr="00033234">
        <w:rPr>
          <w:rFonts w:asciiTheme="minorHAnsi" w:hAnsiTheme="minorHAnsi" w:cstheme="minorHAnsi"/>
          <w:sz w:val="22"/>
          <w:szCs w:val="22"/>
        </w:rPr>
        <w:t>Boa argumentação, clareza dos argumentos, divisão em tópicos e coerência lógica da peça: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 xml:space="preserve"> 2,0 pontos</w:t>
      </w:r>
      <w:r w:rsidRPr="000332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0D17DA" w14:textId="30914CA4" w:rsidR="00776E7C" w:rsidRPr="00033234" w:rsidRDefault="00776E7C" w:rsidP="002F06AE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REGULARIDADE FORMAL:</w:t>
      </w:r>
      <w:r w:rsidRPr="00033234">
        <w:rPr>
          <w:rFonts w:asciiTheme="minorHAnsi" w:hAnsiTheme="minorHAnsi" w:cstheme="minorHAnsi"/>
          <w:sz w:val="22"/>
          <w:szCs w:val="22"/>
        </w:rPr>
        <w:t xml:space="preserve"> A petição deve ter o correto endereçamento ao Presidente do TJSP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 ponto</w:t>
      </w:r>
      <w:r w:rsidRPr="00033234">
        <w:rPr>
          <w:rFonts w:asciiTheme="minorHAnsi" w:hAnsiTheme="minorHAnsi" w:cstheme="minorHAnsi"/>
          <w:sz w:val="22"/>
          <w:szCs w:val="22"/>
        </w:rPr>
        <w:t>), acompanhada das razões recursais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</w:t>
      </w:r>
      <w:r w:rsidRPr="00033234">
        <w:rPr>
          <w:rFonts w:asciiTheme="minorHAnsi" w:hAnsiTheme="minorHAnsi" w:cstheme="minorHAnsi"/>
          <w:sz w:val="22"/>
          <w:szCs w:val="22"/>
        </w:rPr>
        <w:t xml:space="preserve"> 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ponto</w:t>
      </w:r>
      <w:r w:rsidRPr="00033234">
        <w:rPr>
          <w:rFonts w:asciiTheme="minorHAnsi" w:hAnsiTheme="minorHAnsi" w:cstheme="minorHAnsi"/>
          <w:sz w:val="22"/>
          <w:szCs w:val="22"/>
        </w:rPr>
        <w:t>). Indicação correta do fundamento legal do AREsp (arts. 3, 638 do CPP c/c art. 994, VIII do CPC)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 ponto</w:t>
      </w:r>
      <w:r w:rsidRPr="00033234">
        <w:rPr>
          <w:rFonts w:asciiTheme="minorHAnsi" w:hAnsiTheme="minorHAnsi" w:cstheme="minorHAnsi"/>
          <w:sz w:val="22"/>
          <w:szCs w:val="22"/>
        </w:rPr>
        <w:t>) e da matéria infraconstitucional violada: art. 1º e 71</w:t>
      </w:r>
      <w:r w:rsidR="00EC44B2">
        <w:rPr>
          <w:rFonts w:asciiTheme="minorHAnsi" w:hAnsiTheme="minorHAnsi" w:cstheme="minorHAnsi"/>
          <w:sz w:val="22"/>
          <w:szCs w:val="22"/>
        </w:rPr>
        <w:t xml:space="preserve"> </w:t>
      </w:r>
      <w:r w:rsidRPr="00033234">
        <w:rPr>
          <w:rFonts w:asciiTheme="minorHAnsi" w:hAnsiTheme="minorHAnsi" w:cstheme="minorHAnsi"/>
          <w:sz w:val="22"/>
          <w:szCs w:val="22"/>
        </w:rPr>
        <w:t>CP; assim como do precedente ignorado</w:t>
      </w:r>
      <w:r w:rsidR="002F06AE">
        <w:rPr>
          <w:rFonts w:asciiTheme="minorHAnsi" w:hAnsiTheme="minorHAnsi" w:cstheme="minorHAnsi"/>
          <w:sz w:val="22"/>
          <w:szCs w:val="22"/>
        </w:rPr>
        <w:t xml:space="preserve"> e a demonstração de inaplicabilidade da súmula 07 STJ (matéria de direito que não demanda análise probatória)</w:t>
      </w:r>
      <w:r w:rsidRPr="00033234">
        <w:rPr>
          <w:rFonts w:asciiTheme="minorHAnsi" w:hAnsiTheme="minorHAnsi" w:cstheme="minorHAnsi"/>
          <w:sz w:val="22"/>
          <w:szCs w:val="22"/>
        </w:rPr>
        <w:t>.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 ponto</w:t>
      </w:r>
      <w:r w:rsidRPr="0003323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B58B8C6" w14:textId="77E00790" w:rsidR="00776E7C" w:rsidRPr="00033234" w:rsidRDefault="00776E7C" w:rsidP="002F06AE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MÉRITO:</w:t>
      </w:r>
      <w:r w:rsidR="002F06AE">
        <w:rPr>
          <w:rFonts w:asciiTheme="minorHAnsi" w:hAnsiTheme="minorHAnsi" w:cstheme="minorHAnsi"/>
          <w:sz w:val="22"/>
          <w:szCs w:val="22"/>
        </w:rPr>
        <w:t xml:space="preserve"> (i) </w:t>
      </w:r>
      <w:r w:rsidRPr="00033234">
        <w:rPr>
          <w:rFonts w:asciiTheme="minorHAnsi" w:hAnsiTheme="minorHAnsi" w:cstheme="minorHAnsi"/>
          <w:sz w:val="22"/>
          <w:szCs w:val="22"/>
        </w:rPr>
        <w:t>tese</w:t>
      </w:r>
      <w:r w:rsidR="002F06AE">
        <w:rPr>
          <w:rFonts w:asciiTheme="minorHAnsi" w:hAnsiTheme="minorHAnsi" w:cstheme="minorHAnsi"/>
          <w:sz w:val="22"/>
          <w:szCs w:val="22"/>
        </w:rPr>
        <w:t xml:space="preserve"> recursal</w:t>
      </w:r>
      <w:r w:rsidRPr="00033234">
        <w:rPr>
          <w:rFonts w:asciiTheme="minorHAnsi" w:hAnsiTheme="minorHAnsi" w:cstheme="minorHAnsi"/>
          <w:sz w:val="22"/>
          <w:szCs w:val="22"/>
        </w:rPr>
        <w:t xml:space="preserve">: </w:t>
      </w:r>
      <w:r w:rsidR="002F06AE">
        <w:rPr>
          <w:rFonts w:asciiTheme="minorHAnsi" w:hAnsiTheme="minorHAnsi" w:cstheme="minorHAnsi"/>
          <w:sz w:val="22"/>
          <w:szCs w:val="22"/>
        </w:rPr>
        <w:t xml:space="preserve">inexistência de ‘desígnios autônomos’ em relação as postagens realizadas de maneira subsequente (cf. </w:t>
      </w:r>
      <w:r w:rsidR="00033234">
        <w:rPr>
          <w:rFonts w:asciiTheme="minorHAnsi" w:hAnsiTheme="minorHAnsi" w:cstheme="minorHAnsi"/>
          <w:sz w:val="22"/>
          <w:szCs w:val="22"/>
        </w:rPr>
        <w:t xml:space="preserve">STJ: </w:t>
      </w:r>
      <w:r w:rsidR="00033234" w:rsidRPr="00033234">
        <w:rPr>
          <w:rFonts w:asciiTheme="minorHAnsi" w:hAnsiTheme="minorHAnsi" w:cstheme="minorHAnsi"/>
          <w:sz w:val="22"/>
          <w:szCs w:val="22"/>
        </w:rPr>
        <w:t>AREsp 1808212/ES</w:t>
      </w:r>
      <w:r w:rsidR="002F06AE">
        <w:rPr>
          <w:rFonts w:asciiTheme="minorHAnsi" w:hAnsiTheme="minorHAnsi" w:cstheme="minorHAnsi"/>
          <w:sz w:val="22"/>
          <w:szCs w:val="22"/>
        </w:rPr>
        <w:t>); (</w:t>
      </w:r>
      <w:proofErr w:type="spellStart"/>
      <w:r w:rsidR="002F06AE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2F06AE">
        <w:rPr>
          <w:rFonts w:asciiTheme="minorHAnsi" w:hAnsiTheme="minorHAnsi" w:cstheme="minorHAnsi"/>
          <w:sz w:val="22"/>
          <w:szCs w:val="22"/>
        </w:rPr>
        <w:t xml:space="preserve">) violação </w:t>
      </w:r>
      <w:r w:rsidR="00EB140F">
        <w:rPr>
          <w:rFonts w:asciiTheme="minorHAnsi" w:hAnsiTheme="minorHAnsi" w:cstheme="minorHAnsi"/>
          <w:sz w:val="22"/>
          <w:szCs w:val="22"/>
        </w:rPr>
        <w:t>da</w:t>
      </w:r>
      <w:r w:rsidR="002F06AE">
        <w:rPr>
          <w:rFonts w:asciiTheme="minorHAnsi" w:hAnsiTheme="minorHAnsi" w:cstheme="minorHAnsi"/>
          <w:sz w:val="22"/>
          <w:szCs w:val="22"/>
        </w:rPr>
        <w:t xml:space="preserve"> anterioridade</w:t>
      </w:r>
      <w:r w:rsidR="00EB140F">
        <w:rPr>
          <w:rFonts w:asciiTheme="minorHAnsi" w:hAnsiTheme="minorHAnsi" w:cstheme="minorHAnsi"/>
          <w:sz w:val="22"/>
          <w:szCs w:val="22"/>
        </w:rPr>
        <w:t xml:space="preserve"> da lei penal mais gravosa</w:t>
      </w:r>
      <w:r w:rsidR="002F06AE">
        <w:rPr>
          <w:rFonts w:asciiTheme="minorHAnsi" w:hAnsiTheme="minorHAnsi" w:cstheme="minorHAnsi"/>
          <w:sz w:val="22"/>
          <w:szCs w:val="22"/>
        </w:rPr>
        <w:t>, em relação à atração da causa de aumento de pena que somente passou a existir a partir de 2019 (data do fato 201</w:t>
      </w:r>
      <w:r w:rsidR="00EB140F">
        <w:rPr>
          <w:rFonts w:asciiTheme="minorHAnsi" w:hAnsiTheme="minorHAnsi" w:cstheme="minorHAnsi"/>
          <w:sz w:val="22"/>
          <w:szCs w:val="22"/>
        </w:rPr>
        <w:t>4</w:t>
      </w:r>
      <w:r w:rsidR="002F06AE">
        <w:rPr>
          <w:rFonts w:asciiTheme="minorHAnsi" w:hAnsiTheme="minorHAnsi" w:cstheme="minorHAnsi"/>
          <w:sz w:val="22"/>
          <w:szCs w:val="22"/>
        </w:rPr>
        <w:t>); e (</w:t>
      </w:r>
      <w:proofErr w:type="spellStart"/>
      <w:r w:rsidR="002F06AE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="002F06AE">
        <w:rPr>
          <w:rFonts w:asciiTheme="minorHAnsi" w:hAnsiTheme="minorHAnsi" w:cstheme="minorHAnsi"/>
          <w:sz w:val="22"/>
          <w:szCs w:val="22"/>
        </w:rPr>
        <w:t xml:space="preserve">) </w:t>
      </w:r>
      <w:r w:rsidR="00EB140F">
        <w:rPr>
          <w:rFonts w:asciiTheme="minorHAnsi" w:hAnsiTheme="minorHAnsi" w:cstheme="minorHAnsi"/>
          <w:sz w:val="22"/>
          <w:szCs w:val="22"/>
        </w:rPr>
        <w:t xml:space="preserve">com a redução da pena, </w:t>
      </w:r>
      <w:r w:rsidR="002F06AE">
        <w:rPr>
          <w:rFonts w:asciiTheme="minorHAnsi" w:hAnsiTheme="minorHAnsi" w:cstheme="minorHAnsi"/>
          <w:sz w:val="22"/>
          <w:szCs w:val="22"/>
        </w:rPr>
        <w:t>possibilidade de reconhecimento de ofício da prescrição intercorrente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 xml:space="preserve"> (2,0 pontos).</w:t>
      </w:r>
      <w:r w:rsidRPr="000332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21C95" w14:textId="2EBCD03A" w:rsidR="00776E7C" w:rsidRDefault="00776E7C" w:rsidP="00EB140F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PEDIDO:</w:t>
      </w:r>
      <w:r w:rsidRPr="00033234">
        <w:rPr>
          <w:rFonts w:asciiTheme="minorHAnsi" w:hAnsiTheme="minorHAnsi" w:cstheme="minorHAnsi"/>
          <w:sz w:val="22"/>
          <w:szCs w:val="22"/>
        </w:rPr>
        <w:t xml:space="preserve"> para conhecimento e provimento do recurso, visando: (i) </w:t>
      </w:r>
      <w:r w:rsidR="00EB140F">
        <w:rPr>
          <w:rFonts w:asciiTheme="minorHAnsi" w:hAnsiTheme="minorHAnsi" w:cstheme="minorHAnsi"/>
          <w:sz w:val="22"/>
          <w:szCs w:val="22"/>
        </w:rPr>
        <w:t xml:space="preserve">contrariedade ao art. 71, que deveria incidir na espécie, para reformar o acórdão do TJSP e </w:t>
      </w:r>
      <w:r w:rsidR="002F06AE">
        <w:rPr>
          <w:rFonts w:asciiTheme="minorHAnsi" w:hAnsiTheme="minorHAnsi" w:cstheme="minorHAnsi"/>
          <w:sz w:val="22"/>
          <w:szCs w:val="22"/>
        </w:rPr>
        <w:t>reconhecer que a conduta fora praticada mediante continuidade delitiva e não concurso formal impróprio; (</w:t>
      </w:r>
      <w:proofErr w:type="spellStart"/>
      <w:r w:rsidR="002F06AE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2F06AE">
        <w:rPr>
          <w:rFonts w:asciiTheme="minorHAnsi" w:hAnsiTheme="minorHAnsi" w:cstheme="minorHAnsi"/>
          <w:sz w:val="22"/>
          <w:szCs w:val="22"/>
        </w:rPr>
        <w:t xml:space="preserve">) reformar o acórdão para reconhecer </w:t>
      </w:r>
      <w:r w:rsidR="00EB140F">
        <w:rPr>
          <w:rFonts w:asciiTheme="minorHAnsi" w:hAnsiTheme="minorHAnsi" w:cstheme="minorHAnsi"/>
          <w:sz w:val="22"/>
          <w:szCs w:val="22"/>
        </w:rPr>
        <w:t>a contrariedade ao art. 1º do CP, não podendo ter incidência a</w:t>
      </w:r>
      <w:r w:rsidR="002F06AE">
        <w:rPr>
          <w:rFonts w:asciiTheme="minorHAnsi" w:hAnsiTheme="minorHAnsi" w:cstheme="minorHAnsi"/>
          <w:sz w:val="22"/>
          <w:szCs w:val="22"/>
        </w:rPr>
        <w:t xml:space="preserve"> causa de aumento de pena do </w:t>
      </w:r>
      <w:r w:rsidR="002A7EFB">
        <w:rPr>
          <w:rFonts w:asciiTheme="minorHAnsi" w:hAnsiTheme="minorHAnsi" w:cstheme="minorHAnsi"/>
          <w:sz w:val="22"/>
          <w:szCs w:val="22"/>
        </w:rPr>
        <w:t>§2º do art. 141 do CP, por força da irretroatividade</w:t>
      </w:r>
      <w:r w:rsidR="00EB140F">
        <w:rPr>
          <w:rFonts w:asciiTheme="minorHAnsi" w:hAnsiTheme="minorHAnsi" w:cstheme="minorHAnsi"/>
          <w:sz w:val="22"/>
          <w:szCs w:val="22"/>
        </w:rPr>
        <w:t xml:space="preserve"> da lei pena mais gravosa</w:t>
      </w:r>
      <w:r w:rsidR="002A7EF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A7EFB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="002A7EFB">
        <w:rPr>
          <w:rFonts w:asciiTheme="minorHAnsi" w:hAnsiTheme="minorHAnsi" w:cstheme="minorHAnsi"/>
          <w:sz w:val="22"/>
          <w:szCs w:val="22"/>
        </w:rPr>
        <w:t xml:space="preserve">) </w:t>
      </w:r>
      <w:r w:rsidR="00EB140F">
        <w:rPr>
          <w:rFonts w:asciiTheme="minorHAnsi" w:hAnsiTheme="minorHAnsi" w:cstheme="minorHAnsi"/>
          <w:sz w:val="22"/>
          <w:szCs w:val="22"/>
        </w:rPr>
        <w:t xml:space="preserve">reduzida a pena de cada crime a patamar inferior a 2 anos, </w:t>
      </w:r>
      <w:r w:rsidR="002A7EFB">
        <w:rPr>
          <w:rFonts w:asciiTheme="minorHAnsi" w:hAnsiTheme="minorHAnsi" w:cstheme="minorHAnsi"/>
          <w:sz w:val="22"/>
          <w:szCs w:val="22"/>
        </w:rPr>
        <w:t>reconhecer, de ofício, a incidência da prescrição intercorrente</w:t>
      </w:r>
      <w:r w:rsidR="002F06AE">
        <w:rPr>
          <w:rFonts w:asciiTheme="minorHAnsi" w:hAnsiTheme="minorHAnsi" w:cstheme="minorHAnsi"/>
          <w:sz w:val="22"/>
          <w:szCs w:val="22"/>
        </w:rPr>
        <w:t xml:space="preserve">  </w:t>
      </w:r>
      <w:r w:rsidRPr="00033234">
        <w:rPr>
          <w:rFonts w:asciiTheme="minorHAnsi" w:hAnsiTheme="minorHAnsi" w:cstheme="minorHAnsi"/>
          <w:sz w:val="22"/>
          <w:szCs w:val="22"/>
        </w:rPr>
        <w:t>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2,0 pontos</w:t>
      </w:r>
      <w:r w:rsidRPr="00033234">
        <w:rPr>
          <w:rFonts w:asciiTheme="minorHAnsi" w:hAnsiTheme="minorHAnsi" w:cstheme="minorHAnsi"/>
          <w:sz w:val="22"/>
          <w:szCs w:val="22"/>
        </w:rPr>
        <w:t>)</w:t>
      </w:r>
      <w:r w:rsidR="002A7E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2C06E3" w14:textId="77777777" w:rsidR="00EB140F" w:rsidRDefault="00EB140F" w:rsidP="00EB140F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E539B15" w14:textId="77E88401" w:rsidR="00540945" w:rsidRPr="00033234" w:rsidRDefault="00540945" w:rsidP="00540945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540945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GABARITO GRUPO MP</w:t>
      </w:r>
      <w:r w:rsidRPr="00033234">
        <w:rPr>
          <w:rFonts w:asciiTheme="minorHAnsi" w:hAnsiTheme="minorHAnsi" w:cstheme="minorHAnsi"/>
          <w:sz w:val="22"/>
          <w:szCs w:val="22"/>
        </w:rPr>
        <w:t>:</w:t>
      </w:r>
    </w:p>
    <w:p w14:paraId="58713DC2" w14:textId="77777777" w:rsidR="00540945" w:rsidRPr="00033234" w:rsidRDefault="00540945" w:rsidP="00540945">
      <w:pPr>
        <w:spacing w:line="360" w:lineRule="auto"/>
        <w:ind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AREsp</w:t>
      </w:r>
    </w:p>
    <w:p w14:paraId="0B5B201C" w14:textId="77777777" w:rsidR="00540945" w:rsidRPr="00033234" w:rsidRDefault="00540945" w:rsidP="00540945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sz w:val="22"/>
          <w:szCs w:val="22"/>
        </w:rPr>
        <w:t>Verificar: (i) correto endereçamento; (ii) correto fundamento legal; (iii) se deixou claro o âmbito de impugnação do recurso.</w:t>
      </w:r>
    </w:p>
    <w:p w14:paraId="41EB837A" w14:textId="77777777" w:rsidR="00540945" w:rsidRPr="00033234" w:rsidRDefault="00540945" w:rsidP="00540945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 xml:space="preserve">ASPECTOS GERAIS: </w:t>
      </w:r>
      <w:r w:rsidRPr="00033234">
        <w:rPr>
          <w:rFonts w:asciiTheme="minorHAnsi" w:hAnsiTheme="minorHAnsi" w:cstheme="minorHAnsi"/>
          <w:sz w:val="22"/>
          <w:szCs w:val="22"/>
        </w:rPr>
        <w:t>Boa argumentação, clareza dos argumentos, divisão em tópicos e coerência lógica da peça: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 xml:space="preserve"> 2,0 pontos</w:t>
      </w:r>
      <w:r w:rsidRPr="000332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39527D" w14:textId="77777777" w:rsidR="00EB140F" w:rsidRPr="00033234" w:rsidRDefault="00EB140F" w:rsidP="00EB140F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REGULARIDADE FORMAL:</w:t>
      </w:r>
      <w:r w:rsidRPr="00033234">
        <w:rPr>
          <w:rFonts w:asciiTheme="minorHAnsi" w:hAnsiTheme="minorHAnsi" w:cstheme="minorHAnsi"/>
          <w:sz w:val="22"/>
          <w:szCs w:val="22"/>
        </w:rPr>
        <w:t xml:space="preserve"> A petição deve ter o correto endereçamento ao Presidente do TJSP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 ponto</w:t>
      </w:r>
      <w:r w:rsidRPr="00033234">
        <w:rPr>
          <w:rFonts w:asciiTheme="minorHAnsi" w:hAnsiTheme="minorHAnsi" w:cstheme="minorHAnsi"/>
          <w:sz w:val="22"/>
          <w:szCs w:val="22"/>
        </w:rPr>
        <w:t>), acompanhada das razões recursais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</w:t>
      </w:r>
      <w:r w:rsidRPr="00033234">
        <w:rPr>
          <w:rFonts w:asciiTheme="minorHAnsi" w:hAnsiTheme="minorHAnsi" w:cstheme="minorHAnsi"/>
          <w:sz w:val="22"/>
          <w:szCs w:val="22"/>
        </w:rPr>
        <w:t xml:space="preserve"> 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ponto</w:t>
      </w:r>
      <w:r w:rsidRPr="00033234">
        <w:rPr>
          <w:rFonts w:asciiTheme="minorHAnsi" w:hAnsiTheme="minorHAnsi" w:cstheme="minorHAnsi"/>
          <w:sz w:val="22"/>
          <w:szCs w:val="22"/>
        </w:rPr>
        <w:t xml:space="preserve">). Indicação correta do </w:t>
      </w:r>
      <w:r w:rsidRPr="00033234">
        <w:rPr>
          <w:rFonts w:asciiTheme="minorHAnsi" w:hAnsiTheme="minorHAnsi" w:cstheme="minorHAnsi"/>
          <w:sz w:val="22"/>
          <w:szCs w:val="22"/>
        </w:rPr>
        <w:lastRenderedPageBreak/>
        <w:t xml:space="preserve">fundamento legal do </w:t>
      </w:r>
      <w:proofErr w:type="spellStart"/>
      <w:r w:rsidRPr="00033234">
        <w:rPr>
          <w:rFonts w:asciiTheme="minorHAnsi" w:hAnsiTheme="minorHAnsi" w:cstheme="minorHAnsi"/>
          <w:sz w:val="22"/>
          <w:szCs w:val="22"/>
        </w:rPr>
        <w:t>AREsp</w:t>
      </w:r>
      <w:proofErr w:type="spellEnd"/>
      <w:r w:rsidRPr="0003323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33234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033234">
        <w:rPr>
          <w:rFonts w:asciiTheme="minorHAnsi" w:hAnsiTheme="minorHAnsi" w:cstheme="minorHAnsi"/>
          <w:sz w:val="22"/>
          <w:szCs w:val="22"/>
        </w:rPr>
        <w:t>. 3, 638 do CPP c/c art. 994, VIII do CPC)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 ponto</w:t>
      </w:r>
      <w:r w:rsidRPr="00033234">
        <w:rPr>
          <w:rFonts w:asciiTheme="minorHAnsi" w:hAnsiTheme="minorHAnsi" w:cstheme="minorHAnsi"/>
          <w:sz w:val="22"/>
          <w:szCs w:val="22"/>
        </w:rPr>
        <w:t>) e da matéria infraconstitucional violada: art. 1º e 71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3234">
        <w:rPr>
          <w:rFonts w:asciiTheme="minorHAnsi" w:hAnsiTheme="minorHAnsi" w:cstheme="minorHAnsi"/>
          <w:sz w:val="22"/>
          <w:szCs w:val="22"/>
        </w:rPr>
        <w:t>CP; assim como do precedente ignorado</w:t>
      </w:r>
      <w:r>
        <w:rPr>
          <w:rFonts w:asciiTheme="minorHAnsi" w:hAnsiTheme="minorHAnsi" w:cstheme="minorHAnsi"/>
          <w:sz w:val="22"/>
          <w:szCs w:val="22"/>
        </w:rPr>
        <w:t xml:space="preserve"> e a demonstração de inaplicabilidade da súmula 07 STJ (matéria de direito que não demanda análise probatória)</w:t>
      </w:r>
      <w:r w:rsidRPr="00033234">
        <w:rPr>
          <w:rFonts w:asciiTheme="minorHAnsi" w:hAnsiTheme="minorHAnsi" w:cstheme="minorHAnsi"/>
          <w:sz w:val="22"/>
          <w:szCs w:val="22"/>
        </w:rPr>
        <w:t>. 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1,0 ponto</w:t>
      </w:r>
      <w:r w:rsidRPr="0003323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91E5BA7" w14:textId="77777777" w:rsidR="00EB140F" w:rsidRPr="00033234" w:rsidRDefault="00EB140F" w:rsidP="00EB140F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MÉRITO:</w:t>
      </w:r>
      <w:r>
        <w:rPr>
          <w:rFonts w:asciiTheme="minorHAnsi" w:hAnsiTheme="minorHAnsi" w:cstheme="minorHAnsi"/>
          <w:sz w:val="22"/>
          <w:szCs w:val="22"/>
        </w:rPr>
        <w:t xml:space="preserve"> (i) </w:t>
      </w:r>
      <w:r w:rsidRPr="00033234">
        <w:rPr>
          <w:rFonts w:asciiTheme="minorHAnsi" w:hAnsiTheme="minorHAnsi" w:cstheme="minorHAnsi"/>
          <w:sz w:val="22"/>
          <w:szCs w:val="22"/>
        </w:rPr>
        <w:t>tese</w:t>
      </w:r>
      <w:r>
        <w:rPr>
          <w:rFonts w:asciiTheme="minorHAnsi" w:hAnsiTheme="minorHAnsi" w:cstheme="minorHAnsi"/>
          <w:sz w:val="22"/>
          <w:szCs w:val="22"/>
        </w:rPr>
        <w:t xml:space="preserve"> recursal</w:t>
      </w:r>
      <w:r w:rsidRPr="0003323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inexistência de ‘desígnios autônomos’ em relação as postagens realizadas de maneira subsequente (cf. STJ: </w:t>
      </w:r>
      <w:proofErr w:type="spellStart"/>
      <w:r w:rsidRPr="00033234">
        <w:rPr>
          <w:rFonts w:asciiTheme="minorHAnsi" w:hAnsiTheme="minorHAnsi" w:cstheme="minorHAnsi"/>
          <w:sz w:val="22"/>
          <w:szCs w:val="22"/>
        </w:rPr>
        <w:t>AREsp</w:t>
      </w:r>
      <w:proofErr w:type="spellEnd"/>
      <w:r w:rsidRPr="00033234">
        <w:rPr>
          <w:rFonts w:asciiTheme="minorHAnsi" w:hAnsiTheme="minorHAnsi" w:cstheme="minorHAnsi"/>
          <w:sz w:val="22"/>
          <w:szCs w:val="22"/>
        </w:rPr>
        <w:t xml:space="preserve"> 1808212/ES</w:t>
      </w:r>
      <w:r>
        <w:rPr>
          <w:rFonts w:asciiTheme="minorHAnsi" w:hAnsiTheme="minorHAnsi" w:cstheme="minorHAnsi"/>
          <w:sz w:val="22"/>
          <w:szCs w:val="22"/>
        </w:rPr>
        <w:t>); (</w:t>
      </w:r>
      <w:proofErr w:type="spellStart"/>
      <w:r>
        <w:rPr>
          <w:rFonts w:asciiTheme="minorHAnsi" w:hAnsiTheme="minorHAnsi" w:cstheme="minorHAnsi"/>
          <w:sz w:val="22"/>
          <w:szCs w:val="22"/>
        </w:rPr>
        <w:t>ii</w:t>
      </w:r>
      <w:proofErr w:type="spellEnd"/>
      <w:r>
        <w:rPr>
          <w:rFonts w:asciiTheme="minorHAnsi" w:hAnsiTheme="minorHAnsi" w:cstheme="minorHAnsi"/>
          <w:sz w:val="22"/>
          <w:szCs w:val="22"/>
        </w:rPr>
        <w:t>) violação da anterioridade da lei penal mais gravosa, em relação à atração da causa de aumento de pena que somente passou a existir a partir de 2019 (data do fato 2014); e (</w:t>
      </w:r>
      <w:proofErr w:type="spellStart"/>
      <w:r>
        <w:rPr>
          <w:rFonts w:asciiTheme="minorHAnsi" w:hAnsiTheme="minorHAnsi" w:cstheme="minorHAnsi"/>
          <w:sz w:val="22"/>
          <w:szCs w:val="22"/>
        </w:rPr>
        <w:t>iv</w:t>
      </w:r>
      <w:proofErr w:type="spellEnd"/>
      <w:r>
        <w:rPr>
          <w:rFonts w:asciiTheme="minorHAnsi" w:hAnsiTheme="minorHAnsi" w:cstheme="minorHAnsi"/>
          <w:sz w:val="22"/>
          <w:szCs w:val="22"/>
        </w:rPr>
        <w:t>) com a redução da pena, possibilidade de reconhecimento de ofício da prescrição intercorrente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 xml:space="preserve"> (2,0 pontos).</w:t>
      </w:r>
      <w:r w:rsidRPr="000332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AEF221" w14:textId="77777777" w:rsidR="00EB140F" w:rsidRDefault="00EB140F" w:rsidP="00EB140F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33234">
        <w:rPr>
          <w:rFonts w:asciiTheme="minorHAnsi" w:hAnsiTheme="minorHAnsi" w:cstheme="minorHAnsi"/>
          <w:b/>
          <w:bCs/>
          <w:sz w:val="22"/>
          <w:szCs w:val="22"/>
        </w:rPr>
        <w:t>PEDIDO:</w:t>
      </w:r>
      <w:r w:rsidRPr="00033234">
        <w:rPr>
          <w:rFonts w:asciiTheme="minorHAnsi" w:hAnsiTheme="minorHAnsi" w:cstheme="minorHAnsi"/>
          <w:sz w:val="22"/>
          <w:szCs w:val="22"/>
        </w:rPr>
        <w:t xml:space="preserve"> para conhecimento e provimento do recurso, visando: (i) </w:t>
      </w:r>
      <w:r>
        <w:rPr>
          <w:rFonts w:asciiTheme="minorHAnsi" w:hAnsiTheme="minorHAnsi" w:cstheme="minorHAnsi"/>
          <w:sz w:val="22"/>
          <w:szCs w:val="22"/>
        </w:rPr>
        <w:t>contrariedade ao art. 71, que deveria incidir na espécie, para reformar o acórdão do TJSP e reconhecer que a conduta fora praticada mediante continuidade delitiva e não concurso formal impróprio; (</w:t>
      </w:r>
      <w:proofErr w:type="spellStart"/>
      <w:r>
        <w:rPr>
          <w:rFonts w:asciiTheme="minorHAnsi" w:hAnsiTheme="minorHAnsi" w:cstheme="minorHAnsi"/>
          <w:sz w:val="22"/>
          <w:szCs w:val="22"/>
        </w:rPr>
        <w:t>ii</w:t>
      </w:r>
      <w:proofErr w:type="spellEnd"/>
      <w:r>
        <w:rPr>
          <w:rFonts w:asciiTheme="minorHAnsi" w:hAnsiTheme="minorHAnsi" w:cstheme="minorHAnsi"/>
          <w:sz w:val="22"/>
          <w:szCs w:val="22"/>
        </w:rPr>
        <w:t>) reformar o acórdão para reconhecer a contrariedade ao art. 1º do CP, não podendo ter incidência a causa de aumento de pena do §2º do art. 141 do CP, por força da irretroatividade da lei pena mais gravosa (</w:t>
      </w:r>
      <w:proofErr w:type="spellStart"/>
      <w:r>
        <w:rPr>
          <w:rFonts w:asciiTheme="minorHAnsi" w:hAnsiTheme="minorHAnsi" w:cstheme="minorHAnsi"/>
          <w:sz w:val="22"/>
          <w:szCs w:val="22"/>
        </w:rPr>
        <w:t>iv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reduzida a pena de cada crime a patamar inferior a 2 anos, reconhecer, de ofício, a incidência da prescrição intercorrente  </w:t>
      </w:r>
      <w:r w:rsidRPr="00033234">
        <w:rPr>
          <w:rFonts w:asciiTheme="minorHAnsi" w:hAnsiTheme="minorHAnsi" w:cstheme="minorHAnsi"/>
          <w:sz w:val="22"/>
          <w:szCs w:val="22"/>
        </w:rPr>
        <w:t>(</w:t>
      </w:r>
      <w:r w:rsidRPr="00033234">
        <w:rPr>
          <w:rFonts w:asciiTheme="minorHAnsi" w:hAnsiTheme="minorHAnsi" w:cstheme="minorHAnsi"/>
          <w:b/>
          <w:bCs/>
          <w:sz w:val="22"/>
          <w:szCs w:val="22"/>
        </w:rPr>
        <w:t>2,0 pontos</w:t>
      </w:r>
      <w:r w:rsidRPr="0003323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5A2BEA" w14:textId="77777777" w:rsidR="00540945" w:rsidRPr="002F06AE" w:rsidRDefault="00540945" w:rsidP="00EB140F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540945" w:rsidRPr="002F06AE" w:rsidSect="005623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7C"/>
    <w:rsid w:val="00033234"/>
    <w:rsid w:val="002A7EFB"/>
    <w:rsid w:val="002F06AE"/>
    <w:rsid w:val="00540945"/>
    <w:rsid w:val="00776E7C"/>
    <w:rsid w:val="00EB140F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DDB3"/>
  <w15:chartTrackingRefBased/>
  <w15:docId w15:val="{5EEFE3EA-18B2-4707-BD55-3949B67E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3 - SML</dc:creator>
  <cp:keywords/>
  <dc:description/>
  <cp:lastModifiedBy>Gustavo Badaró | Badaró Advogados</cp:lastModifiedBy>
  <cp:revision>2</cp:revision>
  <dcterms:created xsi:type="dcterms:W3CDTF">2023-05-11T22:13:00Z</dcterms:created>
  <dcterms:modified xsi:type="dcterms:W3CDTF">2023-05-11T22:13:00Z</dcterms:modified>
</cp:coreProperties>
</file>