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45DA" w14:textId="78D17F33" w:rsidR="00AD296A" w:rsidRPr="00FE5569" w:rsidRDefault="00AD296A" w:rsidP="00AD296A">
      <w:pPr>
        <w:spacing w:line="360" w:lineRule="auto"/>
        <w:jc w:val="both"/>
        <w:rPr>
          <w:rFonts w:cstheme="minorHAnsi"/>
          <w:b/>
          <w:bCs/>
        </w:rPr>
      </w:pPr>
      <w:r w:rsidRPr="00FE5569">
        <w:rPr>
          <w:rFonts w:cstheme="minorHAnsi"/>
          <w:b/>
          <w:bCs/>
        </w:rPr>
        <w:t xml:space="preserve">GABARITO peça </w:t>
      </w:r>
      <w:r w:rsidR="002B418E">
        <w:rPr>
          <w:rFonts w:cstheme="minorHAnsi"/>
          <w:b/>
          <w:bCs/>
        </w:rPr>
        <w:t>4</w:t>
      </w:r>
      <w:r w:rsidRPr="00FE5569">
        <w:rPr>
          <w:rFonts w:cstheme="minorHAnsi"/>
          <w:b/>
          <w:bCs/>
        </w:rPr>
        <w:t xml:space="preserve">. </w:t>
      </w:r>
      <w:r w:rsidR="002B418E">
        <w:rPr>
          <w:rFonts w:cstheme="minorHAnsi"/>
          <w:b/>
          <w:bCs/>
        </w:rPr>
        <w:t>Recurso Especial</w:t>
      </w:r>
    </w:p>
    <w:p w14:paraId="651F42E0" w14:textId="77777777" w:rsidR="00053F4A" w:rsidRDefault="00053F4A" w:rsidP="00AD296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31A9FD9" w14:textId="20426037" w:rsidR="00AD296A" w:rsidRPr="00FE5569" w:rsidRDefault="00AD296A" w:rsidP="00053F4A">
      <w:pPr>
        <w:spacing w:before="120" w:line="360" w:lineRule="auto"/>
        <w:jc w:val="both"/>
        <w:rPr>
          <w:rFonts w:cstheme="minorHAnsi"/>
          <w:b/>
          <w:bCs/>
        </w:rPr>
      </w:pPr>
      <w:r w:rsidRPr="00FE5569">
        <w:rPr>
          <w:rFonts w:cstheme="minorHAnsi"/>
          <w:b/>
          <w:bCs/>
        </w:rPr>
        <w:t>PEÇA DE DEFESA</w:t>
      </w:r>
    </w:p>
    <w:p w14:paraId="3AEE85B5" w14:textId="64CFE8EB" w:rsidR="00FE5569" w:rsidRPr="00FE5569" w:rsidRDefault="002B418E" w:rsidP="00FE5569">
      <w:pPr>
        <w:spacing w:before="12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Recurso especial</w:t>
      </w:r>
    </w:p>
    <w:p w14:paraId="6B8C402D" w14:textId="77777777" w:rsidR="00FE5569" w:rsidRPr="006E7943" w:rsidRDefault="00FE5569" w:rsidP="00FE5569">
      <w:pPr>
        <w:spacing w:before="120"/>
        <w:jc w:val="both"/>
        <w:rPr>
          <w:rFonts w:cstheme="minorHAnsi"/>
        </w:rPr>
      </w:pPr>
      <w:r w:rsidRPr="006E7943">
        <w:rPr>
          <w:rFonts w:cstheme="minorHAnsi"/>
        </w:rPr>
        <w:t>Verificar: (i) correto endereçamento; (ii) correto fundamento legal; (iii) se deixou claro o âmbito de impugnação do recurso.</w:t>
      </w:r>
    </w:p>
    <w:p w14:paraId="7E86ECDD" w14:textId="77777777" w:rsidR="00FE5569" w:rsidRPr="006E7943" w:rsidRDefault="00FE5569" w:rsidP="00FE5569">
      <w:pPr>
        <w:pStyle w:val="Normal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6E7943">
        <w:rPr>
          <w:rFonts w:asciiTheme="minorHAnsi" w:hAnsiTheme="minorHAnsi" w:cstheme="minorHAnsi"/>
          <w:b/>
          <w:bCs/>
        </w:rPr>
        <w:t xml:space="preserve">ASPECTOS GERAIS: </w:t>
      </w:r>
      <w:r w:rsidRPr="006E7943">
        <w:rPr>
          <w:rFonts w:asciiTheme="minorHAnsi" w:hAnsiTheme="minorHAnsi" w:cstheme="minorHAnsi"/>
        </w:rPr>
        <w:t>Boa argumentação, clareza dos argumentos, divisão em tópicos e coerência lógica da peça:</w:t>
      </w:r>
      <w:r w:rsidRPr="006E7943">
        <w:rPr>
          <w:rFonts w:asciiTheme="minorHAnsi" w:hAnsiTheme="minorHAnsi" w:cstheme="minorHAnsi"/>
          <w:b/>
          <w:bCs/>
        </w:rPr>
        <w:t xml:space="preserve"> 2,0 pontos</w:t>
      </w:r>
      <w:r w:rsidRPr="006E7943">
        <w:rPr>
          <w:rFonts w:asciiTheme="minorHAnsi" w:hAnsiTheme="minorHAnsi" w:cstheme="minorHAnsi"/>
        </w:rPr>
        <w:t xml:space="preserve"> </w:t>
      </w:r>
    </w:p>
    <w:p w14:paraId="1939D77E" w14:textId="77777777" w:rsidR="00FE5569" w:rsidRPr="006E7943" w:rsidRDefault="00FE5569" w:rsidP="00FE5569">
      <w:pPr>
        <w:spacing w:before="120"/>
        <w:jc w:val="both"/>
        <w:rPr>
          <w:rFonts w:cstheme="minorHAnsi"/>
        </w:rPr>
      </w:pPr>
    </w:p>
    <w:p w14:paraId="5B0CC454" w14:textId="70504444" w:rsidR="00FE5569" w:rsidRPr="006E7943" w:rsidRDefault="00FE5569" w:rsidP="00FE5569">
      <w:pPr>
        <w:spacing w:before="120"/>
        <w:jc w:val="both"/>
        <w:rPr>
          <w:rFonts w:cstheme="minorHAnsi"/>
        </w:rPr>
      </w:pPr>
      <w:r w:rsidRPr="006E7943">
        <w:rPr>
          <w:rFonts w:cstheme="minorHAnsi"/>
          <w:b/>
          <w:bCs/>
        </w:rPr>
        <w:t>REGULARIDADE FORMAL:</w:t>
      </w:r>
      <w:r w:rsidRPr="006E7943">
        <w:rPr>
          <w:rFonts w:cstheme="minorHAnsi"/>
        </w:rPr>
        <w:t xml:space="preserve"> A petição deve ter o correto endereçamento ao </w:t>
      </w:r>
      <w:r w:rsidR="00062F42">
        <w:rPr>
          <w:rFonts w:cstheme="minorHAnsi"/>
        </w:rPr>
        <w:t>Presidente do TJSP</w:t>
      </w:r>
      <w:r w:rsidRPr="006E7943">
        <w:rPr>
          <w:rFonts w:cstheme="minorHAnsi"/>
        </w:rPr>
        <w:t xml:space="preserve"> (</w:t>
      </w:r>
      <w:r w:rsidRPr="006E7943">
        <w:rPr>
          <w:rFonts w:cstheme="minorHAnsi"/>
          <w:b/>
          <w:bCs/>
        </w:rPr>
        <w:t>1,0 ponto</w:t>
      </w:r>
      <w:r w:rsidRPr="006E7943">
        <w:rPr>
          <w:rFonts w:cstheme="minorHAnsi"/>
        </w:rPr>
        <w:t>), acompanhada das razões recursais (</w:t>
      </w:r>
      <w:r w:rsidRPr="006E7943">
        <w:rPr>
          <w:rFonts w:cstheme="minorHAnsi"/>
          <w:b/>
          <w:bCs/>
        </w:rPr>
        <w:t>1,0</w:t>
      </w:r>
      <w:r w:rsidRPr="006E7943">
        <w:rPr>
          <w:rFonts w:cstheme="minorHAnsi"/>
        </w:rPr>
        <w:t xml:space="preserve"> </w:t>
      </w:r>
      <w:r w:rsidRPr="006E7943">
        <w:rPr>
          <w:rFonts w:cstheme="minorHAnsi"/>
          <w:b/>
          <w:bCs/>
        </w:rPr>
        <w:t>ponto</w:t>
      </w:r>
      <w:r w:rsidRPr="006E7943">
        <w:rPr>
          <w:rFonts w:cstheme="minorHAnsi"/>
        </w:rPr>
        <w:t xml:space="preserve">). Indicação correta do fundamento legal do </w:t>
      </w:r>
      <w:r w:rsidR="00062F42">
        <w:rPr>
          <w:rFonts w:cstheme="minorHAnsi"/>
        </w:rPr>
        <w:t xml:space="preserve">recurso especial (CR, art. 105, III, a) </w:t>
      </w:r>
      <w:r w:rsidRPr="006E7943">
        <w:rPr>
          <w:rFonts w:cstheme="minorHAnsi"/>
        </w:rPr>
        <w:t>(</w:t>
      </w:r>
      <w:r w:rsidRPr="006E7943">
        <w:rPr>
          <w:rFonts w:cstheme="minorHAnsi"/>
          <w:b/>
          <w:bCs/>
        </w:rPr>
        <w:t>1,0 ponto</w:t>
      </w:r>
      <w:r w:rsidRPr="006E7943">
        <w:rPr>
          <w:rFonts w:cstheme="minorHAnsi"/>
        </w:rPr>
        <w:t xml:space="preserve">) e de qual foi o vício ocorrido: </w:t>
      </w:r>
      <w:r w:rsidR="00062F42">
        <w:rPr>
          <w:rFonts w:cstheme="minorHAnsi"/>
        </w:rPr>
        <w:t>artigo de lei violado: CPP, art 15</w:t>
      </w:r>
      <w:r w:rsidR="002B418E">
        <w:rPr>
          <w:rFonts w:cstheme="minorHAnsi"/>
        </w:rPr>
        <w:t>6</w:t>
      </w:r>
      <w:r w:rsidR="00062F42">
        <w:rPr>
          <w:rFonts w:cstheme="minorHAnsi"/>
        </w:rPr>
        <w:t xml:space="preserve">, </w:t>
      </w:r>
      <w:r w:rsidR="00062F42">
        <w:rPr>
          <w:rFonts w:cstheme="minorHAnsi"/>
          <w:i/>
          <w:iCs/>
        </w:rPr>
        <w:t>caput</w:t>
      </w:r>
      <w:r w:rsidR="00062F42">
        <w:rPr>
          <w:rFonts w:cstheme="minorHAnsi"/>
        </w:rPr>
        <w:t xml:space="preserve">, c.c. art. 386, </w:t>
      </w:r>
      <w:r w:rsidR="00062F42">
        <w:rPr>
          <w:rFonts w:cstheme="minorHAnsi"/>
          <w:i/>
          <w:iCs/>
        </w:rPr>
        <w:t>caput</w:t>
      </w:r>
      <w:r w:rsidR="00062F42">
        <w:rPr>
          <w:rFonts w:cstheme="minorHAnsi"/>
        </w:rPr>
        <w:t xml:space="preserve">, V, para tese principal, e CP, art. 44, caput, para tese subsidiária </w:t>
      </w:r>
      <w:r w:rsidRPr="006E7943">
        <w:rPr>
          <w:rFonts w:cstheme="minorHAnsi"/>
        </w:rPr>
        <w:t>(</w:t>
      </w:r>
      <w:r w:rsidRPr="006E7943">
        <w:rPr>
          <w:rFonts w:cstheme="minorHAnsi"/>
          <w:b/>
          <w:bCs/>
        </w:rPr>
        <w:t>1,0 ponto</w:t>
      </w:r>
      <w:r w:rsidRPr="006E7943">
        <w:rPr>
          <w:rFonts w:cstheme="minorHAnsi"/>
        </w:rPr>
        <w:t xml:space="preserve">). </w:t>
      </w:r>
    </w:p>
    <w:p w14:paraId="13D4B644" w14:textId="729123B2" w:rsidR="00FE5569" w:rsidRPr="006E7943" w:rsidRDefault="00FE5569" w:rsidP="00FE556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6E7943">
        <w:rPr>
          <w:rFonts w:asciiTheme="minorHAnsi" w:hAnsiTheme="minorHAnsi" w:cstheme="minorHAnsi"/>
          <w:b/>
          <w:bCs/>
        </w:rPr>
        <w:t>MÉRITO:</w:t>
      </w:r>
      <w:r w:rsidRPr="006E7943">
        <w:rPr>
          <w:rFonts w:asciiTheme="minorHAnsi" w:hAnsiTheme="minorHAnsi" w:cstheme="minorHAnsi"/>
        </w:rPr>
        <w:t xml:space="preserve"> (</w:t>
      </w:r>
      <w:r w:rsidRPr="003742BE">
        <w:rPr>
          <w:rFonts w:asciiTheme="minorHAnsi" w:eastAsiaTheme="minorHAnsi" w:hAnsiTheme="minorHAnsi" w:cstheme="minorHAnsi"/>
          <w:lang w:eastAsia="en-US"/>
        </w:rPr>
        <w:t xml:space="preserve">i) </w:t>
      </w:r>
      <w:r w:rsidR="00062F42" w:rsidRPr="003742BE">
        <w:rPr>
          <w:rFonts w:asciiTheme="minorHAnsi" w:eastAsiaTheme="minorHAnsi" w:hAnsiTheme="minorHAnsi" w:cstheme="minorHAnsi"/>
          <w:lang w:eastAsia="en-US"/>
        </w:rPr>
        <w:t>tese principal: alegação de contrariedade ao CPP, art 15</w:t>
      </w:r>
      <w:r w:rsidR="002B418E" w:rsidRPr="003742BE">
        <w:rPr>
          <w:rFonts w:asciiTheme="minorHAnsi" w:eastAsiaTheme="minorHAnsi" w:hAnsiTheme="minorHAnsi" w:cstheme="minorHAnsi"/>
          <w:lang w:eastAsia="en-US"/>
        </w:rPr>
        <w:t>6</w:t>
      </w:r>
      <w:r w:rsidR="00062F42" w:rsidRPr="003742BE">
        <w:rPr>
          <w:rFonts w:asciiTheme="minorHAnsi" w:eastAsiaTheme="minorHAnsi" w:hAnsiTheme="minorHAnsi" w:cstheme="minorHAnsi"/>
          <w:lang w:eastAsia="en-US"/>
        </w:rPr>
        <w:t xml:space="preserve">, caput, porque o ônus da prova da autoria delitiva é do MP, isto é, de quem alega, e o acórdão condena o acusado por afirmar que caberia a ele prova que não foi o autor do crime, invertendo o ônus da prova.  Além disso, também poderia acrescentar contrariedade ao inciso V do caput do art. 386, porque o caso era de dúvida sobre a autoria e, mesmo assim, o acusado foi condenado, quando o dispositivo contrariado prevê que deve ser absolvido. </w:t>
      </w:r>
      <w:r w:rsidRPr="003742BE">
        <w:rPr>
          <w:rFonts w:asciiTheme="minorHAnsi" w:eastAsiaTheme="minorHAnsi" w:hAnsiTheme="minorHAnsi" w:cstheme="minorHAnsi"/>
          <w:lang w:eastAsia="en-US"/>
        </w:rPr>
        <w:t>(</w:t>
      </w:r>
      <w:r w:rsidR="00EE66AD" w:rsidRPr="003742BE">
        <w:rPr>
          <w:rFonts w:asciiTheme="minorHAnsi" w:eastAsiaTheme="minorHAnsi" w:hAnsiTheme="minorHAnsi" w:cstheme="minorHAnsi"/>
          <w:lang w:eastAsia="en-US"/>
        </w:rPr>
        <w:t>2,0</w:t>
      </w:r>
      <w:r w:rsidRPr="003742BE">
        <w:rPr>
          <w:rFonts w:asciiTheme="minorHAnsi" w:eastAsiaTheme="minorHAnsi" w:hAnsiTheme="minorHAnsi" w:cstheme="minorHAnsi"/>
          <w:lang w:eastAsia="en-US"/>
        </w:rPr>
        <w:t xml:space="preserve"> ponto</w:t>
      </w:r>
      <w:r w:rsidR="00EE66AD" w:rsidRPr="003742BE">
        <w:rPr>
          <w:rFonts w:asciiTheme="minorHAnsi" w:eastAsiaTheme="minorHAnsi" w:hAnsiTheme="minorHAnsi" w:cstheme="minorHAnsi"/>
          <w:lang w:eastAsia="en-US"/>
        </w:rPr>
        <w:t>s</w:t>
      </w:r>
      <w:r w:rsidRPr="003742BE">
        <w:rPr>
          <w:rFonts w:asciiTheme="minorHAnsi" w:eastAsiaTheme="minorHAnsi" w:hAnsiTheme="minorHAnsi" w:cstheme="minorHAnsi"/>
          <w:lang w:eastAsia="en-US"/>
        </w:rPr>
        <w:t xml:space="preserve">); (ii) </w:t>
      </w:r>
      <w:r w:rsidR="00062F42" w:rsidRPr="003742BE">
        <w:rPr>
          <w:rFonts w:asciiTheme="minorHAnsi" w:eastAsiaTheme="minorHAnsi" w:hAnsiTheme="minorHAnsi" w:cstheme="minorHAnsi"/>
          <w:lang w:eastAsia="en-US"/>
        </w:rPr>
        <w:t>tese subsidiária: na negativa de substituição da pena privativa de liberdade por pena de multa houve contrariedade</w:t>
      </w:r>
      <w:r w:rsidR="00062F42">
        <w:rPr>
          <w:rFonts w:asciiTheme="minorHAnsi" w:hAnsiTheme="minorHAnsi" w:cstheme="minorHAnsi"/>
        </w:rPr>
        <w:t xml:space="preserve"> ao art. 44 do CP, pois a pena foi inferior a quatro anos, o acusado não era reincidente, a não pode ser considerado mau antecedente a prisão não penal, por dívida civil.</w:t>
      </w:r>
      <w:r w:rsidR="000927C1">
        <w:rPr>
          <w:rFonts w:asciiTheme="minorHAnsi" w:hAnsiTheme="minorHAnsi" w:cstheme="minorHAnsi"/>
        </w:rPr>
        <w:t xml:space="preserve"> </w:t>
      </w:r>
      <w:r w:rsidRPr="006E7943">
        <w:rPr>
          <w:rFonts w:asciiTheme="minorHAnsi" w:hAnsiTheme="minorHAnsi" w:cstheme="minorHAnsi"/>
        </w:rPr>
        <w:t xml:space="preserve"> (</w:t>
      </w:r>
      <w:r w:rsidR="00EE66AD">
        <w:rPr>
          <w:rFonts w:asciiTheme="minorHAnsi" w:hAnsiTheme="minorHAnsi" w:cstheme="minorHAnsi"/>
          <w:b/>
          <w:bCs/>
        </w:rPr>
        <w:t>2,0</w:t>
      </w:r>
      <w:r w:rsidRPr="006E7943">
        <w:rPr>
          <w:rFonts w:asciiTheme="minorHAnsi" w:hAnsiTheme="minorHAnsi" w:cstheme="minorHAnsi"/>
          <w:b/>
          <w:bCs/>
        </w:rPr>
        <w:t xml:space="preserve"> ponto</w:t>
      </w:r>
      <w:r w:rsidR="00062F42">
        <w:rPr>
          <w:rFonts w:asciiTheme="minorHAnsi" w:hAnsiTheme="minorHAnsi" w:cstheme="minorHAnsi"/>
          <w:b/>
          <w:bCs/>
        </w:rPr>
        <w:t>s</w:t>
      </w:r>
      <w:r w:rsidRPr="006E7943">
        <w:rPr>
          <w:rFonts w:asciiTheme="minorHAnsi" w:hAnsiTheme="minorHAnsi" w:cstheme="minorHAnsi"/>
        </w:rPr>
        <w:t>)</w:t>
      </w:r>
      <w:r w:rsidR="00EE66AD">
        <w:rPr>
          <w:rFonts w:asciiTheme="minorHAnsi" w:hAnsiTheme="minorHAnsi" w:cstheme="minorHAnsi"/>
        </w:rPr>
        <w:t>.</w:t>
      </w:r>
      <w:r w:rsidRPr="006E7943">
        <w:rPr>
          <w:rFonts w:asciiTheme="minorHAnsi" w:hAnsiTheme="minorHAnsi" w:cstheme="minorHAnsi"/>
        </w:rPr>
        <w:t xml:space="preserve"> </w:t>
      </w:r>
    </w:p>
    <w:p w14:paraId="626109D2" w14:textId="63C1A016" w:rsidR="00FE5569" w:rsidRPr="006E7943" w:rsidRDefault="00FE5569" w:rsidP="00FE556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6E7943">
        <w:rPr>
          <w:rFonts w:asciiTheme="minorHAnsi" w:hAnsiTheme="minorHAnsi" w:cstheme="minorHAnsi"/>
          <w:b/>
          <w:bCs/>
        </w:rPr>
        <w:t>PEDIDO:</w:t>
      </w:r>
      <w:r w:rsidRPr="006E7943">
        <w:rPr>
          <w:rFonts w:asciiTheme="minorHAnsi" w:hAnsiTheme="minorHAnsi" w:cstheme="minorHAnsi"/>
        </w:rPr>
        <w:t xml:space="preserve"> para conhecimento e provimento do recurso, visando: (i) </w:t>
      </w:r>
      <w:r w:rsidR="00062F42">
        <w:rPr>
          <w:rFonts w:asciiTheme="minorHAnsi" w:hAnsiTheme="minorHAnsi" w:cstheme="minorHAnsi"/>
        </w:rPr>
        <w:t>afastar a contrariedade ao art. 155, pois se o acórdão reconhece que MP não se desincumbiu do de prova a autoria, não poderia impor a defesa um ônus de demonstrar sua inocência. Poderia acrescentar que, se o caso era de dúvida de autoria, a condenação viola o inciso V do art. 386 do CPP.</w:t>
      </w:r>
      <w:r w:rsidRPr="006E7943">
        <w:rPr>
          <w:rFonts w:asciiTheme="minorHAnsi" w:hAnsiTheme="minorHAnsi" w:cstheme="minorHAnsi"/>
        </w:rPr>
        <w:t xml:space="preserve">; (ii) </w:t>
      </w:r>
      <w:r w:rsidR="00062F42">
        <w:rPr>
          <w:rFonts w:asciiTheme="minorHAnsi" w:hAnsiTheme="minorHAnsi" w:cstheme="minorHAnsi"/>
        </w:rPr>
        <w:t>afastar a contrariedade do art. 44 do CP, porque todos os requisitos legais estão presentes, substituindo a pena privativa de liberdade por pena de multa</w:t>
      </w:r>
      <w:r w:rsidRPr="006E7943">
        <w:rPr>
          <w:rFonts w:asciiTheme="minorHAnsi" w:hAnsiTheme="minorHAnsi" w:cstheme="minorHAnsi"/>
        </w:rPr>
        <w:t xml:space="preserve"> (</w:t>
      </w:r>
      <w:r w:rsidR="00EE66AD" w:rsidRPr="006E7943">
        <w:rPr>
          <w:rFonts w:asciiTheme="minorHAnsi" w:hAnsiTheme="minorHAnsi" w:cstheme="minorHAnsi"/>
          <w:b/>
          <w:bCs/>
        </w:rPr>
        <w:t>2,0 pontos</w:t>
      </w:r>
      <w:r w:rsidRPr="006E7943">
        <w:rPr>
          <w:rFonts w:asciiTheme="minorHAnsi" w:hAnsiTheme="minorHAnsi" w:cstheme="minorHAnsi"/>
        </w:rPr>
        <w:t xml:space="preserve">) </w:t>
      </w:r>
    </w:p>
    <w:p w14:paraId="3FC2A331" w14:textId="77777777" w:rsidR="00FE5569" w:rsidRDefault="00FE5569" w:rsidP="00FE5569">
      <w:pPr>
        <w:jc w:val="both"/>
      </w:pPr>
    </w:p>
    <w:p w14:paraId="00464CA6" w14:textId="77777777" w:rsidR="00AD296A" w:rsidRDefault="00AD296A" w:rsidP="00053F4A">
      <w:pPr>
        <w:spacing w:before="120" w:line="360" w:lineRule="auto"/>
      </w:pPr>
    </w:p>
    <w:p w14:paraId="0FEEF6D7" w14:textId="41CBD1EE" w:rsidR="00053F4A" w:rsidRPr="000A263D" w:rsidRDefault="00053F4A" w:rsidP="00053F4A">
      <w:pPr>
        <w:spacing w:before="120" w:line="360" w:lineRule="auto"/>
        <w:jc w:val="both"/>
        <w:rPr>
          <w:rFonts w:ascii="Times New Roman" w:hAnsi="Times New Roman" w:cs="Times New Roman"/>
          <w:b/>
          <w:bCs/>
        </w:rPr>
      </w:pPr>
      <w:r w:rsidRPr="000A263D">
        <w:rPr>
          <w:rFonts w:ascii="Times New Roman" w:hAnsi="Times New Roman" w:cs="Times New Roman"/>
          <w:b/>
          <w:bCs/>
        </w:rPr>
        <w:t>PEÇA D</w:t>
      </w:r>
      <w:r>
        <w:rPr>
          <w:rFonts w:ascii="Times New Roman" w:hAnsi="Times New Roman" w:cs="Times New Roman"/>
          <w:b/>
          <w:bCs/>
        </w:rPr>
        <w:t>A ACUSAÇÃO</w:t>
      </w:r>
    </w:p>
    <w:p w14:paraId="5D804EC0" w14:textId="625ADB4D" w:rsidR="00053F4A" w:rsidRPr="006E7943" w:rsidRDefault="002B418E" w:rsidP="006E7943">
      <w:pPr>
        <w:spacing w:before="12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Recurso Especial</w:t>
      </w:r>
    </w:p>
    <w:p w14:paraId="1E5A01E1" w14:textId="77777777" w:rsidR="00053F4A" w:rsidRPr="006E7943" w:rsidRDefault="00053F4A" w:rsidP="006E7943">
      <w:pPr>
        <w:spacing w:before="120"/>
        <w:jc w:val="both"/>
        <w:rPr>
          <w:rFonts w:cstheme="minorHAnsi"/>
        </w:rPr>
      </w:pPr>
      <w:r w:rsidRPr="006E7943">
        <w:rPr>
          <w:rFonts w:cstheme="minorHAnsi"/>
        </w:rPr>
        <w:t>Verificar: (i) correto endereçamento; (ii) correto fundamento legal; (iii) se deixou claro o âmbito de impugnação do recurso.</w:t>
      </w:r>
    </w:p>
    <w:p w14:paraId="6DC8F9D9" w14:textId="63438D31" w:rsidR="006E7943" w:rsidRPr="006E7943" w:rsidRDefault="006E7943" w:rsidP="006E7943">
      <w:pPr>
        <w:pStyle w:val="Normal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6E7943">
        <w:rPr>
          <w:rFonts w:asciiTheme="minorHAnsi" w:hAnsiTheme="minorHAnsi" w:cstheme="minorHAnsi"/>
          <w:b/>
          <w:bCs/>
        </w:rPr>
        <w:t xml:space="preserve">ASPECTOS GERAIS: </w:t>
      </w:r>
      <w:r w:rsidRPr="006E7943">
        <w:rPr>
          <w:rFonts w:asciiTheme="minorHAnsi" w:hAnsiTheme="minorHAnsi" w:cstheme="minorHAnsi"/>
        </w:rPr>
        <w:t>Boa argumentação, clareza dos argumentos, divisão em tópicos e coerência lógica da peça:</w:t>
      </w:r>
      <w:r w:rsidRPr="006E7943">
        <w:rPr>
          <w:rFonts w:asciiTheme="minorHAnsi" w:hAnsiTheme="minorHAnsi" w:cstheme="minorHAnsi"/>
          <w:b/>
          <w:bCs/>
        </w:rPr>
        <w:t xml:space="preserve"> 2,0 pontos</w:t>
      </w:r>
      <w:r w:rsidRPr="006E7943">
        <w:rPr>
          <w:rFonts w:asciiTheme="minorHAnsi" w:hAnsiTheme="minorHAnsi" w:cstheme="minorHAnsi"/>
        </w:rPr>
        <w:t xml:space="preserve"> </w:t>
      </w:r>
    </w:p>
    <w:p w14:paraId="5225DF0F" w14:textId="77777777" w:rsidR="006E7943" w:rsidRPr="006E7943" w:rsidRDefault="006E7943" w:rsidP="006E7943">
      <w:pPr>
        <w:spacing w:before="120"/>
        <w:jc w:val="both"/>
        <w:rPr>
          <w:rFonts w:cstheme="minorHAnsi"/>
        </w:rPr>
      </w:pPr>
    </w:p>
    <w:p w14:paraId="11EB2B94" w14:textId="0FC6C000" w:rsidR="006E7943" w:rsidRPr="006E7943" w:rsidRDefault="006E7943" w:rsidP="006E7943">
      <w:pPr>
        <w:spacing w:before="120"/>
        <w:jc w:val="both"/>
        <w:rPr>
          <w:rFonts w:cstheme="minorHAnsi"/>
        </w:rPr>
      </w:pPr>
      <w:r w:rsidRPr="006E7943">
        <w:rPr>
          <w:rFonts w:cstheme="minorHAnsi"/>
          <w:b/>
          <w:bCs/>
        </w:rPr>
        <w:t>REGULARIDADE FORMAL:</w:t>
      </w:r>
      <w:r w:rsidRPr="006E7943">
        <w:rPr>
          <w:rFonts w:cstheme="minorHAnsi"/>
        </w:rPr>
        <w:t xml:space="preserve"> A petição deve ter o correto endereçamento ao </w:t>
      </w:r>
      <w:r w:rsidR="00062F42">
        <w:rPr>
          <w:rFonts w:cstheme="minorHAnsi"/>
        </w:rPr>
        <w:t xml:space="preserve">presidente do TJSP </w:t>
      </w:r>
      <w:r w:rsidRPr="006E7943">
        <w:rPr>
          <w:rFonts w:cstheme="minorHAnsi"/>
        </w:rPr>
        <w:t>(</w:t>
      </w:r>
      <w:r w:rsidRPr="006E7943">
        <w:rPr>
          <w:rFonts w:cstheme="minorHAnsi"/>
          <w:b/>
          <w:bCs/>
        </w:rPr>
        <w:t>1,0 ponto</w:t>
      </w:r>
      <w:r w:rsidRPr="006E7943">
        <w:rPr>
          <w:rFonts w:cstheme="minorHAnsi"/>
        </w:rPr>
        <w:t>), acompanhada das razões recursais (</w:t>
      </w:r>
      <w:r w:rsidRPr="006E7943">
        <w:rPr>
          <w:rFonts w:cstheme="minorHAnsi"/>
          <w:b/>
          <w:bCs/>
        </w:rPr>
        <w:t>1,0</w:t>
      </w:r>
      <w:r w:rsidRPr="006E7943">
        <w:rPr>
          <w:rFonts w:cstheme="minorHAnsi"/>
        </w:rPr>
        <w:t xml:space="preserve"> </w:t>
      </w:r>
      <w:r w:rsidRPr="006E7943">
        <w:rPr>
          <w:rFonts w:cstheme="minorHAnsi"/>
          <w:b/>
          <w:bCs/>
        </w:rPr>
        <w:t>ponto</w:t>
      </w:r>
      <w:r w:rsidRPr="006E7943">
        <w:rPr>
          <w:rFonts w:cstheme="minorHAnsi"/>
        </w:rPr>
        <w:t xml:space="preserve">). Indicação correta </w:t>
      </w:r>
      <w:r w:rsidR="00062F42" w:rsidRPr="006E7943">
        <w:rPr>
          <w:rFonts w:cstheme="minorHAnsi"/>
        </w:rPr>
        <w:t xml:space="preserve">do fundamento legal do </w:t>
      </w:r>
      <w:r w:rsidR="00062F42">
        <w:rPr>
          <w:rFonts w:cstheme="minorHAnsi"/>
        </w:rPr>
        <w:t xml:space="preserve">recurso especial (CR, art. 105, III, a) </w:t>
      </w:r>
      <w:r w:rsidR="00062F42" w:rsidRPr="006E7943">
        <w:rPr>
          <w:rFonts w:cstheme="minorHAnsi"/>
        </w:rPr>
        <w:t>(</w:t>
      </w:r>
      <w:r w:rsidR="00062F42" w:rsidRPr="006E7943">
        <w:rPr>
          <w:rFonts w:cstheme="minorHAnsi"/>
          <w:b/>
          <w:bCs/>
        </w:rPr>
        <w:t>1,0 ponto</w:t>
      </w:r>
      <w:r w:rsidR="00062F42" w:rsidRPr="006E7943">
        <w:rPr>
          <w:rFonts w:cstheme="minorHAnsi"/>
        </w:rPr>
        <w:t xml:space="preserve">) e de qual foi o vício ocorrido: </w:t>
      </w:r>
      <w:r w:rsidR="00062F42">
        <w:rPr>
          <w:rFonts w:cstheme="minorHAnsi"/>
        </w:rPr>
        <w:t>artigo de lei violado: CPP, art</w:t>
      </w:r>
      <w:r w:rsidR="002B418E">
        <w:rPr>
          <w:rFonts w:cstheme="minorHAnsi"/>
        </w:rPr>
        <w:t>.</w:t>
      </w:r>
      <w:r w:rsidR="00062F42">
        <w:rPr>
          <w:rFonts w:cstheme="minorHAnsi"/>
        </w:rPr>
        <w:t xml:space="preserve"> 384, § 4º</w:t>
      </w:r>
      <w:r w:rsidR="002B418E">
        <w:rPr>
          <w:rFonts w:cstheme="minorHAnsi"/>
        </w:rPr>
        <w:t>, parte final</w:t>
      </w:r>
      <w:r w:rsidR="00062F42">
        <w:rPr>
          <w:rFonts w:cstheme="minorHAnsi"/>
        </w:rPr>
        <w:t xml:space="preserve"> </w:t>
      </w:r>
      <w:r w:rsidR="00062F42" w:rsidRPr="006E7943">
        <w:rPr>
          <w:rFonts w:cstheme="minorHAnsi"/>
        </w:rPr>
        <w:t>(</w:t>
      </w:r>
      <w:r w:rsidR="00062F42" w:rsidRPr="006E7943">
        <w:rPr>
          <w:rFonts w:cstheme="minorHAnsi"/>
          <w:b/>
          <w:bCs/>
        </w:rPr>
        <w:t>1,0 ponto</w:t>
      </w:r>
      <w:r w:rsidR="00062F42" w:rsidRPr="006E7943">
        <w:rPr>
          <w:rFonts w:cstheme="minorHAnsi"/>
        </w:rPr>
        <w:t>).</w:t>
      </w:r>
    </w:p>
    <w:p w14:paraId="05F37A2D" w14:textId="4937015F" w:rsidR="006E7943" w:rsidRPr="006E7943" w:rsidRDefault="006E7943" w:rsidP="006E7943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6E7943">
        <w:rPr>
          <w:rFonts w:asciiTheme="minorHAnsi" w:hAnsiTheme="minorHAnsi" w:cstheme="minorHAnsi"/>
          <w:b/>
          <w:bCs/>
        </w:rPr>
        <w:t>MÉRITO:</w:t>
      </w:r>
      <w:r w:rsidRPr="006E7943">
        <w:rPr>
          <w:rFonts w:asciiTheme="minorHAnsi" w:hAnsiTheme="minorHAnsi" w:cstheme="minorHAnsi"/>
        </w:rPr>
        <w:t xml:space="preserve"> (i) </w:t>
      </w:r>
      <w:r w:rsidR="002B418E">
        <w:rPr>
          <w:rFonts w:asciiTheme="minorHAnsi" w:hAnsiTheme="minorHAnsi" w:cstheme="minorHAnsi"/>
        </w:rPr>
        <w:t xml:space="preserve">tendo havido a </w:t>
      </w:r>
      <w:r w:rsidR="002B418E">
        <w:rPr>
          <w:rFonts w:asciiTheme="minorHAnsi" w:hAnsiTheme="minorHAnsi" w:cstheme="minorHAnsi"/>
          <w:i/>
          <w:iCs/>
        </w:rPr>
        <w:t>mutatio libelli</w:t>
      </w:r>
      <w:r w:rsidR="002B418E">
        <w:rPr>
          <w:rFonts w:asciiTheme="minorHAnsi" w:hAnsiTheme="minorHAnsi" w:cstheme="minorHAnsi"/>
        </w:rPr>
        <w:t xml:space="preserve">, com aditamento da denúncia, e alteração do fato imputado de furto para apropriação indébita de coisa achada, o juiz não poderia condenar o acusado pela imputação originária. Recebido o aditamento para o crime do art. 169, parágrafo único, II, do CP, caberia ao juiz somente absolver ou condenar o acusado por esse fato. No caso, a condenação por furto é nula </w:t>
      </w:r>
      <w:r w:rsidRPr="006E7943">
        <w:rPr>
          <w:rFonts w:asciiTheme="minorHAnsi" w:hAnsiTheme="minorHAnsi" w:cstheme="minorHAnsi"/>
        </w:rPr>
        <w:t>(</w:t>
      </w:r>
      <w:r w:rsidR="00EE66AD">
        <w:rPr>
          <w:rFonts w:asciiTheme="minorHAnsi" w:hAnsiTheme="minorHAnsi" w:cstheme="minorHAnsi"/>
          <w:b/>
          <w:bCs/>
        </w:rPr>
        <w:t>2,0</w:t>
      </w:r>
      <w:r w:rsidRPr="006E7943">
        <w:rPr>
          <w:rFonts w:asciiTheme="minorHAnsi" w:hAnsiTheme="minorHAnsi" w:cstheme="minorHAnsi"/>
          <w:b/>
          <w:bCs/>
        </w:rPr>
        <w:t xml:space="preserve"> ponto</w:t>
      </w:r>
      <w:r w:rsidR="00EE66AD">
        <w:rPr>
          <w:rFonts w:asciiTheme="minorHAnsi" w:hAnsiTheme="minorHAnsi" w:cstheme="minorHAnsi"/>
          <w:b/>
          <w:bCs/>
        </w:rPr>
        <w:t>s</w:t>
      </w:r>
      <w:r w:rsidRPr="006E7943">
        <w:rPr>
          <w:rFonts w:asciiTheme="minorHAnsi" w:hAnsiTheme="minorHAnsi" w:cstheme="minorHAnsi"/>
        </w:rPr>
        <w:t>)</w:t>
      </w:r>
      <w:r w:rsidR="00EE66AD">
        <w:rPr>
          <w:rFonts w:asciiTheme="minorHAnsi" w:hAnsiTheme="minorHAnsi" w:cstheme="minorHAnsi"/>
        </w:rPr>
        <w:t>.</w:t>
      </w:r>
    </w:p>
    <w:p w14:paraId="68A2C6AB" w14:textId="73BF5FAF" w:rsidR="006E7943" w:rsidRPr="003742BE" w:rsidRDefault="006E7943" w:rsidP="006E7943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3742BE">
        <w:rPr>
          <w:rFonts w:asciiTheme="minorHAnsi" w:hAnsiTheme="minorHAnsi" w:cstheme="minorHAnsi"/>
          <w:b/>
          <w:bCs/>
        </w:rPr>
        <w:t>PEDIDO:</w:t>
      </w:r>
      <w:r w:rsidRPr="003742BE">
        <w:rPr>
          <w:rFonts w:asciiTheme="minorHAnsi" w:hAnsiTheme="minorHAnsi" w:cstheme="minorHAnsi"/>
        </w:rPr>
        <w:t xml:space="preserve"> para conhecimento e provimento do recurso, visando: </w:t>
      </w:r>
      <w:r w:rsidR="00EE66AD" w:rsidRPr="003742BE">
        <w:rPr>
          <w:rFonts w:asciiTheme="minorHAnsi" w:hAnsiTheme="minorHAnsi" w:cstheme="minorHAnsi"/>
        </w:rPr>
        <w:t xml:space="preserve">(i) </w:t>
      </w:r>
      <w:r w:rsidR="002B418E" w:rsidRPr="003742BE">
        <w:rPr>
          <w:rFonts w:asciiTheme="minorHAnsi" w:hAnsiTheme="minorHAnsi" w:cstheme="minorHAnsi"/>
        </w:rPr>
        <w:t xml:space="preserve">afastar a contrariedade ao art 384, § 4º, parte final, do CPP, reconhecendo a nulidade do v. acórdão, reconhecendo a nulidade da sentença, e determinando que outra seja proferida, nos termos do aditamento da denúncia, pelo crime da apropriação indébita de coisa achada.  </w:t>
      </w:r>
      <w:r w:rsidRPr="003742BE">
        <w:rPr>
          <w:rFonts w:asciiTheme="minorHAnsi" w:hAnsiTheme="minorHAnsi" w:cstheme="minorHAnsi"/>
          <w:b/>
          <w:bCs/>
        </w:rPr>
        <w:t>(2,0 ponto</w:t>
      </w:r>
      <w:r w:rsidR="000927C1" w:rsidRPr="003742BE">
        <w:rPr>
          <w:rFonts w:asciiTheme="minorHAnsi" w:hAnsiTheme="minorHAnsi" w:cstheme="minorHAnsi"/>
          <w:b/>
          <w:bCs/>
        </w:rPr>
        <w:t>s</w:t>
      </w:r>
      <w:r w:rsidRPr="003742BE">
        <w:rPr>
          <w:rFonts w:asciiTheme="minorHAnsi" w:hAnsiTheme="minorHAnsi" w:cstheme="minorHAnsi"/>
          <w:b/>
          <w:bCs/>
        </w:rPr>
        <w:t xml:space="preserve">) </w:t>
      </w:r>
    </w:p>
    <w:p w14:paraId="47AC8269" w14:textId="77777777" w:rsidR="006E7943" w:rsidRDefault="006E7943" w:rsidP="006E7943">
      <w:pPr>
        <w:jc w:val="both"/>
      </w:pPr>
    </w:p>
    <w:p w14:paraId="4013CC63" w14:textId="77777777" w:rsidR="006E7943" w:rsidRDefault="006E7943" w:rsidP="006E7943">
      <w:pPr>
        <w:pStyle w:val="NormalWeb"/>
        <w:spacing w:before="0" w:beforeAutospacing="0" w:after="120" w:afterAutospacing="0"/>
        <w:jc w:val="both"/>
      </w:pPr>
    </w:p>
    <w:p w14:paraId="403E0F52" w14:textId="5294CE6D" w:rsidR="003E58DB" w:rsidRDefault="003E58DB" w:rsidP="006E7943">
      <w:pPr>
        <w:spacing w:before="120" w:line="360" w:lineRule="auto"/>
        <w:jc w:val="both"/>
      </w:pPr>
    </w:p>
    <w:sectPr w:rsidR="003E58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6A"/>
    <w:rsid w:val="00053F4A"/>
    <w:rsid w:val="00062F42"/>
    <w:rsid w:val="000927C1"/>
    <w:rsid w:val="00143F3B"/>
    <w:rsid w:val="002245BB"/>
    <w:rsid w:val="002B418E"/>
    <w:rsid w:val="003742BE"/>
    <w:rsid w:val="003E58DB"/>
    <w:rsid w:val="006E7943"/>
    <w:rsid w:val="0073371B"/>
    <w:rsid w:val="00AD296A"/>
    <w:rsid w:val="00CA52AB"/>
    <w:rsid w:val="00DA27B4"/>
    <w:rsid w:val="00ED2FD9"/>
    <w:rsid w:val="00EE66AD"/>
    <w:rsid w:val="00FE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F4F3C9"/>
  <w15:chartTrackingRefBased/>
  <w15:docId w15:val="{018A2416-F1D4-AE40-A183-922B87FE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29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selectable-text">
    <w:name w:val="selectable-text"/>
    <w:basedOn w:val="Normal"/>
    <w:rsid w:val="00143F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selectable-text1">
    <w:name w:val="selectable-text1"/>
    <w:basedOn w:val="Fontepargpadro"/>
    <w:rsid w:val="0014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Badaró | Badaró Advogados</dc:creator>
  <cp:keywords/>
  <dc:description/>
  <cp:lastModifiedBy>Gustavo Badaró | Badaró Advogados</cp:lastModifiedBy>
  <cp:revision>4</cp:revision>
  <dcterms:created xsi:type="dcterms:W3CDTF">2023-04-20T17:16:00Z</dcterms:created>
  <dcterms:modified xsi:type="dcterms:W3CDTF">2023-04-25T22:49:00Z</dcterms:modified>
</cp:coreProperties>
</file>