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7C5" w14:textId="77777777" w:rsidR="00FA501C" w:rsidRPr="00250311" w:rsidRDefault="00FA501C" w:rsidP="00FA501C">
      <w:pPr>
        <w:pStyle w:val="Ttulo"/>
        <w:rPr>
          <w:rFonts w:ascii="Arial" w:hAnsi="Arial" w:cs="Arial"/>
          <w:sz w:val="20"/>
          <w:szCs w:val="20"/>
        </w:rPr>
      </w:pPr>
      <w:r w:rsidRPr="00250311">
        <w:rPr>
          <w:rFonts w:ascii="Arial" w:hAnsi="Arial" w:cs="Arial"/>
          <w:sz w:val="20"/>
          <w:szCs w:val="20"/>
        </w:rPr>
        <w:t>Faculdade de Direito da Universidade de São Paulo</w:t>
      </w:r>
    </w:p>
    <w:p w14:paraId="116D550E" w14:textId="77777777" w:rsidR="00FA501C" w:rsidRPr="00250311" w:rsidRDefault="00FA501C" w:rsidP="00FA501C">
      <w:pPr>
        <w:spacing w:before="120" w:after="120" w:line="240" w:lineRule="atLeast"/>
        <w:jc w:val="center"/>
        <w:rPr>
          <w:rFonts w:ascii="Arial" w:hAnsi="Arial" w:cs="Arial"/>
          <w:b/>
        </w:rPr>
      </w:pPr>
      <w:r w:rsidRPr="00250311">
        <w:rPr>
          <w:rStyle w:val="txtarial10ptblack"/>
          <w:rFonts w:ascii="Arial" w:hAnsi="Arial" w:cs="Arial"/>
          <w:b/>
          <w:bCs/>
        </w:rPr>
        <w:t>DPC04</w:t>
      </w:r>
      <w:r>
        <w:rPr>
          <w:rStyle w:val="txtarial10ptblack"/>
          <w:rFonts w:ascii="Arial" w:hAnsi="Arial" w:cs="Arial"/>
          <w:b/>
          <w:bCs/>
        </w:rPr>
        <w:t>29</w:t>
      </w:r>
      <w:r w:rsidRPr="00250311">
        <w:rPr>
          <w:rFonts w:ascii="Arial" w:hAnsi="Arial" w:cs="Arial"/>
          <w:b/>
        </w:rPr>
        <w:t xml:space="preserve"> - Direito Processual Penal I</w:t>
      </w:r>
      <w:r>
        <w:rPr>
          <w:rFonts w:ascii="Arial" w:hAnsi="Arial" w:cs="Arial"/>
          <w:b/>
        </w:rPr>
        <w:t>I</w:t>
      </w:r>
    </w:p>
    <w:p w14:paraId="2A64AE50" w14:textId="77777777" w:rsidR="00FA501C" w:rsidRPr="00250311" w:rsidRDefault="00FA501C" w:rsidP="00FA501C">
      <w:pPr>
        <w:jc w:val="center"/>
        <w:rPr>
          <w:rFonts w:ascii="Arial" w:hAnsi="Arial" w:cs="Arial"/>
        </w:rPr>
      </w:pPr>
      <w:r w:rsidRPr="00250311">
        <w:rPr>
          <w:rFonts w:ascii="Arial" w:hAnsi="Arial" w:cs="Arial"/>
        </w:rPr>
        <w:t xml:space="preserve">Professor: </w:t>
      </w:r>
      <w:r w:rsidRPr="00250311">
        <w:rPr>
          <w:rFonts w:ascii="Arial" w:hAnsi="Arial" w:cs="Arial"/>
          <w:i/>
          <w:iCs/>
        </w:rPr>
        <w:t>Gustavo Henrique Badaró</w:t>
      </w:r>
    </w:p>
    <w:p w14:paraId="737FFDB0" w14:textId="36C75749" w:rsidR="00FA501C" w:rsidRPr="00250311" w:rsidRDefault="00FA501C" w:rsidP="00FA501C">
      <w:pPr>
        <w:pStyle w:val="Ttulo1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Habeas Corpus</w:t>
      </w:r>
      <w:r w:rsidRPr="00250311">
        <w:rPr>
          <w:rFonts w:ascii="Arial" w:hAnsi="Arial" w:cs="Arial"/>
          <w:bCs w:val="0"/>
          <w:sz w:val="20"/>
          <w:szCs w:val="20"/>
        </w:rPr>
        <w:t xml:space="preserve"> - </w:t>
      </w:r>
      <w:r w:rsidRPr="00250311">
        <w:rPr>
          <w:rFonts w:ascii="Arial" w:hAnsi="Arial" w:cs="Arial"/>
          <w:sz w:val="20"/>
          <w:szCs w:val="20"/>
        </w:rPr>
        <w:t>Bibliografia:</w:t>
      </w:r>
    </w:p>
    <w:p w14:paraId="24CBA2BB" w14:textId="77777777" w:rsidR="00FA501C" w:rsidRDefault="00FA501C"/>
    <w:p w14:paraId="799BE1EA" w14:textId="77777777" w:rsidR="00FA501C" w:rsidRDefault="00FA501C"/>
    <w:p w14:paraId="0EDC5092" w14:textId="77777777" w:rsidR="00FA501C" w:rsidRDefault="00FA501C"/>
    <w:p w14:paraId="5BAC3335" w14:textId="3257AA00" w:rsidR="00FA501C" w:rsidRPr="00FA501C" w:rsidRDefault="00FA501C" w:rsidP="00FA501C">
      <w:pPr>
        <w:tabs>
          <w:tab w:val="left" w:pos="4111"/>
        </w:tabs>
        <w:spacing w:before="120"/>
        <w:ind w:left="567" w:hanging="567"/>
      </w:pPr>
      <w:r w:rsidRPr="00250311">
        <w:rPr>
          <w:rFonts w:ascii="Arial" w:hAnsi="Arial" w:cs="Arial"/>
        </w:rPr>
        <w:t xml:space="preserve">BADARÓ, </w:t>
      </w:r>
      <w:r>
        <w:t xml:space="preserve">, </w:t>
      </w:r>
      <w:r w:rsidRPr="00FA501C">
        <w:rPr>
          <w:rFonts w:ascii="Arial" w:hAnsi="Arial" w:cs="Arial"/>
        </w:rPr>
        <w:t>Gustavo Henrique.  Ônus da prova no habeas corpus: in dubio pro libertate. In: PRADO, Geraldo; MALAN, Diogo (Coord.). Processo penal e democracia: estudos em homenagem aos 20 anos da Constituição da República de 1988. Rio de Janeiro: Lumen Juris, 2009.</w:t>
      </w:r>
    </w:p>
    <w:p w14:paraId="03669BC6" w14:textId="77777777" w:rsidR="00FA501C" w:rsidRPr="00FA501C" w:rsidRDefault="00FA501C" w:rsidP="00FA501C">
      <w:pPr>
        <w:tabs>
          <w:tab w:val="left" w:pos="4111"/>
        </w:tabs>
        <w:spacing w:before="120"/>
        <w:ind w:left="567" w:hanging="567"/>
        <w:rPr>
          <w:rFonts w:ascii="Arial" w:hAnsi="Arial" w:cs="Arial"/>
        </w:rPr>
      </w:pPr>
      <w:r w:rsidRPr="00FA501C">
        <w:rPr>
          <w:rFonts w:ascii="Arial" w:hAnsi="Arial" w:cs="Arial"/>
        </w:rPr>
        <w:t>PEDRINHA, Gustavo Mascarenhas Lacerda et al (Orgs.). Habeas Corpus no Supremo Tribunal Federal. São Paulo: RT, 2019.</w:t>
      </w:r>
    </w:p>
    <w:p w14:paraId="4CC91C7A" w14:textId="54DA9703" w:rsidR="00FA501C" w:rsidRPr="00FA501C" w:rsidRDefault="00FA501C" w:rsidP="00FA501C">
      <w:pPr>
        <w:tabs>
          <w:tab w:val="left" w:pos="4111"/>
        </w:tabs>
        <w:spacing w:before="120"/>
        <w:ind w:left="567" w:hanging="567"/>
        <w:rPr>
          <w:rFonts w:ascii="Arial" w:hAnsi="Arial" w:cs="Arial"/>
        </w:rPr>
      </w:pPr>
      <w:r w:rsidRPr="00FA501C">
        <w:rPr>
          <w:rFonts w:ascii="Arial" w:hAnsi="Arial" w:cs="Arial"/>
        </w:rPr>
        <w:t xml:space="preserve">PONTES DE MIRANDA, Francisco Cavalcanti. História e prática do habeas corpus. 4. ed. Rio de Janeiro: </w:t>
      </w:r>
      <w:proofErr w:type="spellStart"/>
      <w:r w:rsidRPr="00FA501C">
        <w:rPr>
          <w:rFonts w:ascii="Arial" w:hAnsi="Arial" w:cs="Arial"/>
        </w:rPr>
        <w:t>Borsoi</w:t>
      </w:r>
      <w:proofErr w:type="spellEnd"/>
      <w:r w:rsidRPr="00FA501C">
        <w:rPr>
          <w:rFonts w:ascii="Arial" w:hAnsi="Arial" w:cs="Arial"/>
        </w:rPr>
        <w:t>, 1962.</w:t>
      </w:r>
    </w:p>
    <w:p w14:paraId="0FDB229A" w14:textId="77777777" w:rsidR="00FA501C" w:rsidRPr="00FA501C" w:rsidRDefault="00FA501C" w:rsidP="00FA501C">
      <w:pPr>
        <w:tabs>
          <w:tab w:val="left" w:pos="4111"/>
        </w:tabs>
        <w:spacing w:before="120"/>
        <w:ind w:left="567" w:hanging="567"/>
        <w:rPr>
          <w:rFonts w:ascii="Arial" w:hAnsi="Arial" w:cs="Arial"/>
        </w:rPr>
      </w:pPr>
      <w:r w:rsidRPr="00FA501C">
        <w:rPr>
          <w:rFonts w:ascii="Arial" w:hAnsi="Arial" w:cs="Arial"/>
        </w:rPr>
        <w:t xml:space="preserve">RODRIGUES, </w:t>
      </w:r>
      <w:proofErr w:type="spellStart"/>
      <w:r w:rsidRPr="00FA501C">
        <w:rPr>
          <w:rFonts w:ascii="Arial" w:hAnsi="Arial" w:cs="Arial"/>
        </w:rPr>
        <w:t>Lêda</w:t>
      </w:r>
      <w:proofErr w:type="spellEnd"/>
      <w:r w:rsidRPr="00FA501C">
        <w:rPr>
          <w:rFonts w:ascii="Arial" w:hAnsi="Arial" w:cs="Arial"/>
        </w:rPr>
        <w:t xml:space="preserve"> </w:t>
      </w:r>
      <w:proofErr w:type="spellStart"/>
      <w:r w:rsidRPr="00FA501C">
        <w:rPr>
          <w:rFonts w:ascii="Arial" w:hAnsi="Arial" w:cs="Arial"/>
        </w:rPr>
        <w:t>Boechat</w:t>
      </w:r>
      <w:proofErr w:type="spellEnd"/>
      <w:r w:rsidRPr="00FA501C">
        <w:rPr>
          <w:rFonts w:ascii="Arial" w:hAnsi="Arial" w:cs="Arial"/>
        </w:rPr>
        <w:t>. História do Supremo Tribunal Federal. Doutrina brasileira do Habeas Corpus, Rio de Janeiro: Civilização Brasileira Ed., 1991, T. III</w:t>
      </w:r>
    </w:p>
    <w:p w14:paraId="65FA5C49" w14:textId="22839F50" w:rsidR="00FA501C" w:rsidRPr="00FA501C" w:rsidRDefault="00FA501C" w:rsidP="00FA501C">
      <w:pPr>
        <w:tabs>
          <w:tab w:val="left" w:pos="4111"/>
        </w:tabs>
        <w:spacing w:before="120"/>
        <w:ind w:left="567" w:hanging="567"/>
        <w:rPr>
          <w:rFonts w:ascii="Arial" w:hAnsi="Arial" w:cs="Arial"/>
        </w:rPr>
      </w:pPr>
      <w:r w:rsidRPr="00FA501C">
        <w:rPr>
          <w:rFonts w:ascii="Arial" w:hAnsi="Arial" w:cs="Arial"/>
        </w:rPr>
        <w:t>SOUZA, José Barcelos de. Doutrina e prática do habeas corpus. Belo Horizonte: Sigla, 1997.</w:t>
      </w:r>
    </w:p>
    <w:p w14:paraId="1AB32DA1" w14:textId="77777777" w:rsidR="00FA501C" w:rsidRDefault="00FA501C"/>
    <w:sectPr w:rsidR="00FA5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C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9E444"/>
  <w15:chartTrackingRefBased/>
  <w15:docId w15:val="{509D6075-DC40-C84D-BBF9-A3BC3F1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A501C"/>
    <w:pPr>
      <w:widowControl w:val="0"/>
      <w:autoSpaceDE w:val="0"/>
      <w:autoSpaceDN w:val="0"/>
      <w:adjustRightInd w:val="0"/>
      <w:spacing w:after="57" w:line="250" w:lineRule="atLeast"/>
      <w:ind w:left="454" w:hanging="454"/>
      <w:jc w:val="both"/>
      <w:textAlignment w:val="center"/>
    </w:pPr>
    <w:rPr>
      <w:rFonts w:ascii="Berkeley-Medium" w:eastAsia="Times New Roman" w:hAnsi="Berkeley-Medium" w:cs="Berkeley-Medium"/>
      <w:color w:val="000000"/>
      <w:kern w:val="0"/>
      <w:sz w:val="21"/>
      <w:szCs w:val="21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A501C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textAlignment w:val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501C"/>
    <w:rPr>
      <w:rFonts w:ascii="Cambria" w:eastAsia="Times New Roman" w:hAnsi="Cambria" w:cs="Times New Roman"/>
      <w:b/>
      <w:bCs/>
      <w:kern w:val="32"/>
      <w:sz w:val="32"/>
      <w:szCs w:val="32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FA501C"/>
    <w:pPr>
      <w:widowControl/>
      <w:autoSpaceDE/>
      <w:autoSpaceDN/>
      <w:adjustRightInd/>
      <w:spacing w:before="120" w:after="120" w:line="240" w:lineRule="atLeast"/>
      <w:ind w:left="0" w:firstLine="0"/>
      <w:jc w:val="center"/>
      <w:textAlignment w:val="auto"/>
    </w:pPr>
    <w:rPr>
      <w:rFonts w:ascii="Times New Roman" w:hAnsi="Times New Roman" w:cs="Times New Roman"/>
      <w:b/>
      <w:color w:val="auto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A501C"/>
    <w:rPr>
      <w:rFonts w:ascii="Times New Roman" w:eastAsia="Times New Roman" w:hAnsi="Times New Roman" w:cs="Times New Roman"/>
      <w:b/>
      <w:kern w:val="0"/>
      <w:sz w:val="28"/>
      <w:lang w:eastAsia="pt-BR"/>
      <w14:ligatures w14:val="none"/>
    </w:rPr>
  </w:style>
  <w:style w:type="character" w:customStyle="1" w:styleId="txtarial10ptblack">
    <w:name w:val="txt_arial_10pt_black"/>
    <w:basedOn w:val="Fontepargpadro"/>
    <w:rsid w:val="00FA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1</cp:revision>
  <dcterms:created xsi:type="dcterms:W3CDTF">2023-06-07T00:44:00Z</dcterms:created>
  <dcterms:modified xsi:type="dcterms:W3CDTF">2023-06-07T00:48:00Z</dcterms:modified>
</cp:coreProperties>
</file>