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87C5" w14:textId="77777777" w:rsidR="00FA501C" w:rsidRPr="00250311" w:rsidRDefault="00FA501C" w:rsidP="00FA501C">
      <w:pPr>
        <w:pStyle w:val="Ttulo"/>
        <w:rPr>
          <w:rFonts w:ascii="Arial" w:hAnsi="Arial" w:cs="Arial"/>
          <w:sz w:val="20"/>
          <w:szCs w:val="20"/>
        </w:rPr>
      </w:pPr>
      <w:r w:rsidRPr="00250311">
        <w:rPr>
          <w:rFonts w:ascii="Arial" w:hAnsi="Arial" w:cs="Arial"/>
          <w:sz w:val="20"/>
          <w:szCs w:val="20"/>
        </w:rPr>
        <w:t>Faculdade de Direito da Universidade de São Paulo</w:t>
      </w:r>
    </w:p>
    <w:p w14:paraId="116D550E" w14:textId="77777777" w:rsidR="00FA501C" w:rsidRPr="00250311" w:rsidRDefault="00FA501C" w:rsidP="00FA501C">
      <w:pPr>
        <w:spacing w:before="120" w:after="120" w:line="240" w:lineRule="atLeast"/>
        <w:jc w:val="center"/>
        <w:rPr>
          <w:rFonts w:ascii="Arial" w:hAnsi="Arial" w:cs="Arial"/>
          <w:b/>
        </w:rPr>
      </w:pPr>
      <w:r w:rsidRPr="00250311">
        <w:rPr>
          <w:rStyle w:val="txtarial10ptblack"/>
          <w:rFonts w:ascii="Arial" w:hAnsi="Arial" w:cs="Arial"/>
          <w:b/>
          <w:bCs/>
        </w:rPr>
        <w:t>DPC04</w:t>
      </w:r>
      <w:r>
        <w:rPr>
          <w:rStyle w:val="txtarial10ptblack"/>
          <w:rFonts w:ascii="Arial" w:hAnsi="Arial" w:cs="Arial"/>
          <w:b/>
          <w:bCs/>
        </w:rPr>
        <w:t>29</w:t>
      </w:r>
      <w:r w:rsidRPr="00250311">
        <w:rPr>
          <w:rFonts w:ascii="Arial" w:hAnsi="Arial" w:cs="Arial"/>
          <w:b/>
        </w:rPr>
        <w:t xml:space="preserve"> - Direito Processual Penal I</w:t>
      </w:r>
      <w:r>
        <w:rPr>
          <w:rFonts w:ascii="Arial" w:hAnsi="Arial" w:cs="Arial"/>
          <w:b/>
        </w:rPr>
        <w:t>I</w:t>
      </w:r>
    </w:p>
    <w:p w14:paraId="2A64AE50" w14:textId="77777777" w:rsidR="00FA501C" w:rsidRPr="00250311" w:rsidRDefault="00FA501C" w:rsidP="00FA501C">
      <w:pPr>
        <w:jc w:val="center"/>
        <w:rPr>
          <w:rFonts w:ascii="Arial" w:hAnsi="Arial" w:cs="Arial"/>
        </w:rPr>
      </w:pPr>
      <w:r w:rsidRPr="00250311">
        <w:rPr>
          <w:rFonts w:ascii="Arial" w:hAnsi="Arial" w:cs="Arial"/>
        </w:rPr>
        <w:t xml:space="preserve">Professor: </w:t>
      </w:r>
      <w:r w:rsidRPr="00250311">
        <w:rPr>
          <w:rFonts w:ascii="Arial" w:hAnsi="Arial" w:cs="Arial"/>
          <w:i/>
          <w:iCs/>
        </w:rPr>
        <w:t>Gustavo Henrique Badaró</w:t>
      </w:r>
    </w:p>
    <w:p w14:paraId="737FFDB0" w14:textId="4544EA2C" w:rsidR="00FA501C" w:rsidRPr="00250311" w:rsidRDefault="00BF38DA" w:rsidP="00FA501C">
      <w:pPr>
        <w:pStyle w:val="Ttulo1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Revisão Criminal</w:t>
      </w:r>
      <w:r w:rsidR="00FA501C" w:rsidRPr="00250311">
        <w:rPr>
          <w:rFonts w:ascii="Arial" w:hAnsi="Arial" w:cs="Arial"/>
          <w:bCs w:val="0"/>
          <w:sz w:val="20"/>
          <w:szCs w:val="20"/>
        </w:rPr>
        <w:t xml:space="preserve"> - </w:t>
      </w:r>
      <w:r w:rsidR="00FA501C" w:rsidRPr="00250311">
        <w:rPr>
          <w:rFonts w:ascii="Arial" w:hAnsi="Arial" w:cs="Arial"/>
          <w:sz w:val="20"/>
          <w:szCs w:val="20"/>
        </w:rPr>
        <w:t>Bibliografia:</w:t>
      </w:r>
    </w:p>
    <w:p w14:paraId="24CBA2BB" w14:textId="77777777" w:rsidR="00FA501C" w:rsidRDefault="00FA501C"/>
    <w:p w14:paraId="799BE1EA" w14:textId="77777777" w:rsidR="00FA501C" w:rsidRDefault="00FA501C"/>
    <w:p w14:paraId="3348E0B7" w14:textId="09C2FED9" w:rsidR="00BF38DA" w:rsidRDefault="00BF38DA" w:rsidP="00BF38DA">
      <w:pPr>
        <w:pStyle w:val="Bibliografia"/>
      </w:pPr>
      <w:r>
        <w:t xml:space="preserve">BADARÓ, Gustavo Henrique. Tribunal do Júri e soberania dos veredictos: desconfiança e enfraquecimento de um falso soberano. In: MARTINS, Ives Gandra da Silva; JOBIM, Eduardo (org.). </w:t>
      </w:r>
      <w:r>
        <w:rPr>
          <w:rStyle w:val="olsdtyleitalic"/>
        </w:rPr>
        <w:t>O Processo na Constituição</w:t>
      </w:r>
      <w:r>
        <w:t xml:space="preserve">. São Paulo: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Latin</w:t>
      </w:r>
      <w:proofErr w:type="spellEnd"/>
      <w:r>
        <w:t>, 2008. p. 361-381.</w:t>
      </w:r>
    </w:p>
    <w:p w14:paraId="2B062FE6" w14:textId="0707049E" w:rsidR="00BF38DA" w:rsidRDefault="00BF38DA" w:rsidP="00BF38DA">
      <w:pPr>
        <w:pStyle w:val="Bibliografia"/>
      </w:pPr>
      <w:r>
        <w:t xml:space="preserve">BATISTA, Nilo. Revisão criminal e interpretação da cláusula “decisão contrária à prova dos autos”. </w:t>
      </w:r>
      <w:r>
        <w:rPr>
          <w:rStyle w:val="olsdtyleitalic"/>
        </w:rPr>
        <w:t>Decisões criminais comentadas</w:t>
      </w:r>
      <w:r>
        <w:t>. Rio de Janeiro: Líber Juris, 1976.</w:t>
      </w:r>
    </w:p>
    <w:p w14:paraId="2D6F02D6" w14:textId="77777777" w:rsidR="00BF38DA" w:rsidRDefault="00BF38DA" w:rsidP="00BF38DA">
      <w:pPr>
        <w:pStyle w:val="Bibliografia"/>
      </w:pPr>
      <w:r>
        <w:t xml:space="preserve">MÉDICI, Sérgio de Oliveira. </w:t>
      </w:r>
      <w:r>
        <w:rPr>
          <w:rStyle w:val="olsdtyleitalic"/>
        </w:rPr>
        <w:t xml:space="preserve">Revisão criminal. </w:t>
      </w:r>
      <w:r>
        <w:t>São Paulo: Ed. RT, 1998.</w:t>
      </w:r>
    </w:p>
    <w:p w14:paraId="132B8917" w14:textId="77777777" w:rsidR="00BF38DA" w:rsidRDefault="00BF38DA" w:rsidP="00BF38DA">
      <w:pPr>
        <w:pStyle w:val="Bibliografia"/>
      </w:pPr>
      <w:r>
        <w:t xml:space="preserve">MOSSIM, Heráclito Antônio. </w:t>
      </w:r>
      <w:r>
        <w:rPr>
          <w:rStyle w:val="olsdtyleitalic"/>
        </w:rPr>
        <w:t>Revisão criminal no direito brasileiro</w:t>
      </w:r>
      <w:r>
        <w:t>. São Paulo: Atlas, 1994.</w:t>
      </w:r>
    </w:p>
    <w:p w14:paraId="2F734299" w14:textId="77777777" w:rsidR="00BF38DA" w:rsidRDefault="00BF38DA" w:rsidP="00BF38DA">
      <w:pPr>
        <w:pStyle w:val="Bibliografia"/>
      </w:pPr>
      <w:r>
        <w:t>OLIVEIRA, João Martins.</w:t>
      </w:r>
      <w:r>
        <w:rPr>
          <w:rStyle w:val="olsdtyleitalic"/>
        </w:rPr>
        <w:t xml:space="preserve"> Revisão criminal. </w:t>
      </w:r>
      <w:r>
        <w:t>São Paulo: Sugestões Literárias, 1967.</w:t>
      </w:r>
    </w:p>
    <w:p w14:paraId="4F84CB03" w14:textId="77777777" w:rsidR="00BF38DA" w:rsidRDefault="00BF38DA" w:rsidP="00BF38DA">
      <w:pPr>
        <w:pStyle w:val="Bibliografia"/>
      </w:pPr>
      <w:r>
        <w:t xml:space="preserve">PIMENTEL, Fabiano Cavalcante. </w:t>
      </w:r>
      <w:r>
        <w:rPr>
          <w:rStyle w:val="olsdtyleitalic"/>
        </w:rPr>
        <w:t xml:space="preserve">O </w:t>
      </w:r>
      <w:proofErr w:type="spellStart"/>
      <w:r>
        <w:t>overruling</w:t>
      </w:r>
      <w:proofErr w:type="spellEnd"/>
      <w:r>
        <w:t xml:space="preserve"> </w:t>
      </w:r>
      <w:r>
        <w:rPr>
          <w:rStyle w:val="olsdtyleitalic"/>
        </w:rPr>
        <w:t>como fundamento para a revisão criminal</w:t>
      </w:r>
      <w:r>
        <w:t>. Belo Horizonte: D’ Plácido, 2015.</w:t>
      </w:r>
    </w:p>
    <w:p w14:paraId="2F9E7B9F" w14:textId="77777777" w:rsidR="00BF38DA" w:rsidRDefault="00BF38DA" w:rsidP="00BF38DA">
      <w:pPr>
        <w:pStyle w:val="Bibliografia"/>
      </w:pPr>
      <w:r>
        <w:t xml:space="preserve">QUEIJO, Maria Elizabeth. </w:t>
      </w:r>
      <w:r>
        <w:rPr>
          <w:rStyle w:val="olsdtyleitalic"/>
        </w:rPr>
        <w:t>Da revisão criminal</w:t>
      </w:r>
      <w:r>
        <w:t>: condições da ação. São Paulo: Malheiros, 1998.</w:t>
      </w:r>
    </w:p>
    <w:p w14:paraId="6758E416" w14:textId="77777777" w:rsidR="00BF38DA" w:rsidRDefault="00BF38DA" w:rsidP="00BF38DA">
      <w:pPr>
        <w:pStyle w:val="Bibliografia"/>
      </w:pPr>
      <w:r>
        <w:t xml:space="preserve">ROMEIRO, Jorge Alberto. </w:t>
      </w:r>
      <w:r>
        <w:rPr>
          <w:rStyle w:val="olsdtyleitalic"/>
        </w:rPr>
        <w:t xml:space="preserve">Da revisão. </w:t>
      </w:r>
      <w:r>
        <w:t>Rio de Janeiro: Forense, 1964.</w:t>
      </w:r>
    </w:p>
    <w:p w14:paraId="38020C35" w14:textId="77777777" w:rsidR="00BF38DA" w:rsidRDefault="00BF38DA" w:rsidP="00BF38DA">
      <w:pPr>
        <w:pStyle w:val="Bibliografia"/>
      </w:pPr>
      <w:r>
        <w:t>WOHLERS, Geraldo Luís. Revisão criminal e soberania.</w:t>
      </w:r>
      <w:r>
        <w:rPr>
          <w:rStyle w:val="olsdtyleitalic"/>
        </w:rPr>
        <w:t xml:space="preserve"> A efetividade da promotoria do júri e os novos rumos da Justiça. </w:t>
      </w:r>
      <w:r>
        <w:t>I Congresso Nacional dos Promotores do Júri. São Paulo: APMP, 1996.</w:t>
      </w:r>
    </w:p>
    <w:p w14:paraId="0457993D" w14:textId="77777777" w:rsidR="00BF38DA" w:rsidRPr="00BF38DA" w:rsidRDefault="00BF38DA" w:rsidP="00BF38DA"/>
    <w:p w14:paraId="1AB32DA1" w14:textId="77777777" w:rsidR="00FA501C" w:rsidRDefault="00FA501C" w:rsidP="00BF38DA">
      <w:pPr>
        <w:tabs>
          <w:tab w:val="left" w:pos="4111"/>
        </w:tabs>
        <w:spacing w:before="120"/>
        <w:ind w:left="567" w:hanging="567"/>
      </w:pPr>
    </w:p>
    <w:sectPr w:rsidR="00FA5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1C"/>
    <w:rsid w:val="00BF38DA"/>
    <w:rsid w:val="00C65E01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9E444"/>
  <w15:chartTrackingRefBased/>
  <w15:docId w15:val="{509D6075-DC40-C84D-BBF9-A3BC3F1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A501C"/>
    <w:pPr>
      <w:widowControl w:val="0"/>
      <w:autoSpaceDE w:val="0"/>
      <w:autoSpaceDN w:val="0"/>
      <w:adjustRightInd w:val="0"/>
      <w:spacing w:after="57" w:line="250" w:lineRule="atLeast"/>
      <w:ind w:left="454" w:hanging="454"/>
      <w:jc w:val="both"/>
      <w:textAlignment w:val="center"/>
    </w:pPr>
    <w:rPr>
      <w:rFonts w:ascii="Berkeley-Medium" w:eastAsia="Times New Roman" w:hAnsi="Berkeley-Medium" w:cs="Berkeley-Medium"/>
      <w:color w:val="000000"/>
      <w:kern w:val="0"/>
      <w:sz w:val="21"/>
      <w:szCs w:val="21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A501C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textAlignment w:val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501C"/>
    <w:rPr>
      <w:rFonts w:ascii="Cambria" w:eastAsia="Times New Roman" w:hAnsi="Cambria" w:cs="Times New Roman"/>
      <w:b/>
      <w:bCs/>
      <w:kern w:val="32"/>
      <w:sz w:val="32"/>
      <w:szCs w:val="32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FA501C"/>
    <w:pPr>
      <w:widowControl/>
      <w:autoSpaceDE/>
      <w:autoSpaceDN/>
      <w:adjustRightInd/>
      <w:spacing w:before="120" w:after="120" w:line="240" w:lineRule="atLeast"/>
      <w:ind w:left="0" w:firstLine="0"/>
      <w:jc w:val="center"/>
      <w:textAlignment w:val="auto"/>
    </w:pPr>
    <w:rPr>
      <w:rFonts w:ascii="Times New Roman" w:hAnsi="Times New Roman" w:cs="Times New Roman"/>
      <w:b/>
      <w:color w:val="auto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A501C"/>
    <w:rPr>
      <w:rFonts w:ascii="Times New Roman" w:eastAsia="Times New Roman" w:hAnsi="Times New Roman" w:cs="Times New Roman"/>
      <w:b/>
      <w:kern w:val="0"/>
      <w:sz w:val="28"/>
      <w:lang w:eastAsia="pt-BR"/>
      <w14:ligatures w14:val="none"/>
    </w:rPr>
  </w:style>
  <w:style w:type="character" w:customStyle="1" w:styleId="txtarial10ptblack">
    <w:name w:val="txt_arial_10pt_black"/>
    <w:basedOn w:val="Fontepargpadro"/>
    <w:rsid w:val="00FA501C"/>
  </w:style>
  <w:style w:type="paragraph" w:styleId="Bibliografia">
    <w:name w:val="Bibliography"/>
    <w:basedOn w:val="Normal"/>
    <w:next w:val="Normal"/>
    <w:uiPriority w:val="37"/>
    <w:unhideWhenUsed/>
    <w:rsid w:val="00BF38DA"/>
  </w:style>
  <w:style w:type="character" w:customStyle="1" w:styleId="olsdtyleitalic">
    <w:name w:val="olsdtyle italic"/>
    <w:uiPriority w:val="99"/>
    <w:rsid w:val="00BF38DA"/>
    <w:rPr>
      <w:rFonts w:ascii="Berkeley" w:hAnsi="Berkeley" w:cs="Berkele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 | Badaró Advogados</dc:creator>
  <cp:keywords/>
  <dc:description/>
  <cp:lastModifiedBy>Gustavo Badaró | Badaró Advogados</cp:lastModifiedBy>
  <cp:revision>3</cp:revision>
  <dcterms:created xsi:type="dcterms:W3CDTF">2023-06-18T20:24:00Z</dcterms:created>
  <dcterms:modified xsi:type="dcterms:W3CDTF">2023-06-18T20:28:00Z</dcterms:modified>
</cp:coreProperties>
</file>