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547B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A7ADBA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36C09781" w14:textId="77777777"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15810F06" w14:textId="77777777"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14:paraId="132A26E2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53226D70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6ACD4A83" w14:textId="219DD9D1"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</w:t>
      </w:r>
      <w:r w:rsidR="00B9754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540A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9754A">
        <w:rPr>
          <w:rFonts w:ascii="Times New Roman" w:hAnsi="Times New Roman" w:cs="Times New Roman"/>
          <w:b/>
          <w:bCs/>
          <w:sz w:val="24"/>
          <w:szCs w:val="24"/>
        </w:rPr>
        <w:t>ina</w:t>
      </w:r>
      <w:r w:rsidR="00A540AF">
        <w:rPr>
          <w:rFonts w:ascii="Times New Roman" w:hAnsi="Times New Roman" w:cs="Times New Roman"/>
          <w:b/>
          <w:bCs/>
          <w:sz w:val="24"/>
          <w:szCs w:val="24"/>
        </w:rPr>
        <w:t>dimplemento das obrigações</w:t>
      </w:r>
      <w:r w:rsidR="006A64B6" w:rsidRPr="006A64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64B6" w:rsidRPr="006A6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61D9" w14:textId="77777777"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AF26" w14:textId="1866AF60" w:rsidR="005C0EDC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</w:t>
      </w:r>
      <w:r w:rsidR="006A64B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C0E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A4588" w14:textId="4220B2C3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A1EE0" w14:textId="4CC0CEE1" w:rsidR="00E343F3" w:rsidRDefault="00483AF2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inadimplemento das obrigações cuida de uma situação patológica do processo obrigacional, uma extinção anormal pelo descumprimento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Considerando o disposto no Código Civil brasileiro de 2002 a respeito do inadimplemento das obrigações e o conteúdo ministrado em sala de aula, responda fundamentadamente as questões abaixo. </w:t>
      </w:r>
    </w:p>
    <w:p w14:paraId="10D65610" w14:textId="77777777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429766" w14:textId="14037B79" w:rsidR="00483AF2" w:rsidRDefault="00483AF2" w:rsidP="006D7B05">
      <w:pPr>
        <w:pStyle w:val="PargrafodaLista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389 do Código Civil prevê que: “</w:t>
      </w:r>
      <w:r w:rsidRPr="00C52C2B">
        <w:rPr>
          <w:rFonts w:ascii="Times New Roman" w:hAnsi="Times New Roman" w:cs="Times New Roman"/>
          <w:i/>
          <w:iCs/>
          <w:sz w:val="24"/>
          <w:szCs w:val="24"/>
        </w:rPr>
        <w:t>não cumprida a obrigação, responde o devedor por perdas e danos, mais juros e atualização monetária segundo índices oficiais regularmente estabelecidos, e honorários de advogado</w:t>
      </w:r>
      <w:r>
        <w:rPr>
          <w:rFonts w:ascii="Times New Roman" w:hAnsi="Times New Roman" w:cs="Times New Roman"/>
          <w:sz w:val="24"/>
          <w:szCs w:val="24"/>
        </w:rPr>
        <w:t xml:space="preserve">.”. </w:t>
      </w:r>
      <w:r w:rsidR="00C52C2B">
        <w:rPr>
          <w:rFonts w:ascii="Times New Roman" w:hAnsi="Times New Roman" w:cs="Times New Roman"/>
          <w:sz w:val="24"/>
          <w:szCs w:val="24"/>
        </w:rPr>
        <w:t>Nesse sentido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DC1">
        <w:rPr>
          <w:rFonts w:ascii="Times New Roman" w:hAnsi="Times New Roman" w:cs="Times New Roman"/>
          <w:sz w:val="24"/>
          <w:szCs w:val="24"/>
        </w:rPr>
        <w:t xml:space="preserve">indique e classifique </w:t>
      </w:r>
      <w:r>
        <w:rPr>
          <w:rFonts w:ascii="Times New Roman" w:hAnsi="Times New Roman" w:cs="Times New Roman"/>
          <w:sz w:val="24"/>
          <w:szCs w:val="24"/>
        </w:rPr>
        <w:t>qual a espécie de juros incluída nas perdas e danos</w:t>
      </w:r>
      <w:r w:rsidR="00C52C2B">
        <w:rPr>
          <w:rFonts w:ascii="Times New Roman" w:hAnsi="Times New Roman" w:cs="Times New Roman"/>
          <w:sz w:val="24"/>
          <w:szCs w:val="24"/>
        </w:rPr>
        <w:t xml:space="preserve"> e qual </w:t>
      </w:r>
      <w:r w:rsidR="00015DC1">
        <w:rPr>
          <w:rFonts w:ascii="Times New Roman" w:hAnsi="Times New Roman" w:cs="Times New Roman"/>
          <w:sz w:val="24"/>
          <w:szCs w:val="24"/>
        </w:rPr>
        <w:t>percentual ou taxa a ser aplicado segundo referido artigo</w:t>
      </w:r>
      <w:r>
        <w:rPr>
          <w:rFonts w:ascii="Times New Roman" w:hAnsi="Times New Roman" w:cs="Times New Roman"/>
          <w:sz w:val="24"/>
          <w:szCs w:val="24"/>
        </w:rPr>
        <w:t xml:space="preserve"> Código Civil brasileiro.</w:t>
      </w:r>
    </w:p>
    <w:p w14:paraId="52417383" w14:textId="77777777" w:rsidR="00E543B3" w:rsidRPr="00771681" w:rsidRDefault="00E543B3" w:rsidP="00771681">
      <w:pPr>
        <w:pStyle w:val="Pargrafoda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4600B59" w14:textId="75CEB567" w:rsidR="00C23B35" w:rsidRDefault="00483AF2" w:rsidP="00C23B35">
      <w:pPr>
        <w:pStyle w:val="PargrafodaLista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nas obrigações de não fazer o devedor está inadimplente desde o momento que realizou o ato que deveria ser abster, aponte se é possível a existência de mora nas obrigações negativas</w:t>
      </w:r>
      <w:r w:rsidR="005C12CD">
        <w:rPr>
          <w:rFonts w:ascii="Times New Roman" w:hAnsi="Times New Roman" w:cs="Times New Roman"/>
          <w:sz w:val="24"/>
          <w:szCs w:val="24"/>
        </w:rPr>
        <w:t xml:space="preserve">. </w:t>
      </w:r>
      <w:r w:rsidR="00C52C2B">
        <w:rPr>
          <w:rFonts w:ascii="Times New Roman" w:hAnsi="Times New Roman" w:cs="Times New Roman"/>
          <w:sz w:val="24"/>
          <w:szCs w:val="24"/>
        </w:rPr>
        <w:t>Sendo possível</w:t>
      </w:r>
      <w:r w:rsidR="005C12CD">
        <w:rPr>
          <w:rFonts w:ascii="Times New Roman" w:hAnsi="Times New Roman" w:cs="Times New Roman"/>
          <w:sz w:val="24"/>
          <w:szCs w:val="24"/>
        </w:rPr>
        <w:t xml:space="preserve">, </w:t>
      </w:r>
      <w:r w:rsidR="002E211E">
        <w:rPr>
          <w:rFonts w:ascii="Times New Roman" w:hAnsi="Times New Roman" w:cs="Times New Roman"/>
          <w:sz w:val="24"/>
          <w:szCs w:val="24"/>
        </w:rPr>
        <w:t xml:space="preserve">aponte </w:t>
      </w:r>
      <w:r w:rsidR="005C12CD">
        <w:rPr>
          <w:rFonts w:ascii="Times New Roman" w:hAnsi="Times New Roman" w:cs="Times New Roman"/>
          <w:sz w:val="24"/>
          <w:szCs w:val="24"/>
        </w:rPr>
        <w:t>se ela dependerá de interpelação.</w:t>
      </w:r>
    </w:p>
    <w:p w14:paraId="7AFB72F1" w14:textId="77777777" w:rsidR="00652553" w:rsidRDefault="00652553" w:rsidP="006525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CE6F1" w14:textId="635C9F47" w:rsidR="001B6786" w:rsidRPr="001B6786" w:rsidRDefault="001B6786" w:rsidP="006D7B05">
      <w:pPr>
        <w:pStyle w:val="PargrafodaLista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786">
        <w:rPr>
          <w:rFonts w:ascii="Times New Roman" w:hAnsi="Times New Roman" w:cs="Times New Roman"/>
          <w:sz w:val="24"/>
          <w:szCs w:val="24"/>
        </w:rPr>
        <w:t>Judith Martins-Costa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1B6786">
        <w:rPr>
          <w:rFonts w:ascii="Times New Roman" w:hAnsi="Times New Roman" w:cs="Times New Roman"/>
          <w:sz w:val="24"/>
          <w:szCs w:val="24"/>
        </w:rPr>
        <w:t xml:space="preserve"> </w:t>
      </w:r>
      <w:r w:rsidR="00483AF2">
        <w:rPr>
          <w:rFonts w:ascii="Times New Roman" w:hAnsi="Times New Roman" w:cs="Times New Roman"/>
          <w:sz w:val="24"/>
          <w:szCs w:val="24"/>
        </w:rPr>
        <w:t>classifica</w:t>
      </w:r>
      <w:r w:rsidRPr="001B6786">
        <w:rPr>
          <w:rFonts w:ascii="Times New Roman" w:hAnsi="Times New Roman" w:cs="Times New Roman"/>
          <w:sz w:val="24"/>
          <w:szCs w:val="24"/>
        </w:rPr>
        <w:t xml:space="preserve"> </w:t>
      </w:r>
      <w:r w:rsidR="00CE4B6D">
        <w:rPr>
          <w:rFonts w:ascii="Times New Roman" w:hAnsi="Times New Roman" w:cs="Times New Roman"/>
          <w:sz w:val="24"/>
          <w:szCs w:val="24"/>
        </w:rPr>
        <w:t>o inadimplemento em três espécies, a saber</w:t>
      </w:r>
      <w:r w:rsidRPr="001B6786">
        <w:rPr>
          <w:rFonts w:ascii="Times New Roman" w:hAnsi="Times New Roman" w:cs="Times New Roman"/>
          <w:sz w:val="24"/>
          <w:szCs w:val="24"/>
        </w:rPr>
        <w:t>:</w:t>
      </w:r>
    </w:p>
    <w:p w14:paraId="70A49AE4" w14:textId="77777777" w:rsidR="001B6786" w:rsidRPr="001B6786" w:rsidRDefault="001B6786" w:rsidP="001B678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19E1" w14:textId="3108AC03" w:rsidR="001B6786" w:rsidRPr="002E211E" w:rsidRDefault="001B6786" w:rsidP="005C12CD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211E">
        <w:rPr>
          <w:rFonts w:ascii="Times New Roman" w:hAnsi="Times New Roman" w:cs="Times New Roman"/>
          <w:sz w:val="20"/>
          <w:szCs w:val="20"/>
        </w:rPr>
        <w:t xml:space="preserve">"a) a mora, quando o incumprimento é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não-definitivo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, isto é: quando a </w:t>
      </w:r>
      <w:r w:rsidR="00614901" w:rsidRPr="002E211E">
        <w:rPr>
          <w:rFonts w:ascii="Times New Roman" w:hAnsi="Times New Roman" w:cs="Times New Roman"/>
          <w:sz w:val="20"/>
          <w:szCs w:val="20"/>
        </w:rPr>
        <w:t>prestação</w:t>
      </w:r>
      <w:r w:rsidRPr="002E21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não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foi cumprida por ato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imputável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ao devedor (ou ao credor, no caso da mora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creditoris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) mas é ainda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possível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não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- excessivamente oneroso e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útil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, apanhando igualmente os casos de cumprimento defeituoso quando 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defeituosidade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atingir interesse de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prestação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>;</w:t>
      </w:r>
    </w:p>
    <w:p w14:paraId="26345948" w14:textId="77777777" w:rsidR="002E211E" w:rsidRPr="002E211E" w:rsidRDefault="002E211E" w:rsidP="002E2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8D315" w14:textId="32AA60DC" w:rsidR="001B6786" w:rsidRPr="002E211E" w:rsidRDefault="001B6786" w:rsidP="005C12CD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211E">
        <w:rPr>
          <w:rFonts w:ascii="Times New Roman" w:hAnsi="Times New Roman" w:cs="Times New Roman"/>
          <w:sz w:val="20"/>
          <w:szCs w:val="20"/>
        </w:rPr>
        <w:lastRenderedPageBreak/>
        <w:t>b) o inadimplemento definitivo (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também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dito “inadimplemento absoluto”): quando 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prestação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não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foi cumprida e nem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podera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>́ mais sê-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, habilitando o credor – se o inadimplemento for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imputável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ao devedor – a receber uma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prestação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substitutiva (garantia), isto é, as perdas e danos, ou 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cláusula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penal ou as arras, conforme o caso, e possibilitando, ainda, o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exercício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do poder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resolutório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Código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Civil, art. 475);</w:t>
      </w:r>
    </w:p>
    <w:p w14:paraId="0325DA2C" w14:textId="77777777" w:rsidR="002E211E" w:rsidRPr="002E211E" w:rsidRDefault="002E211E" w:rsidP="002E2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96C0B1" w14:textId="77777777" w:rsidR="001B6786" w:rsidRPr="002E211E" w:rsidRDefault="001B6786" w:rsidP="005C12CD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211E">
        <w:rPr>
          <w:rFonts w:ascii="Times New Roman" w:hAnsi="Times New Roman" w:cs="Times New Roman"/>
          <w:sz w:val="20"/>
          <w:szCs w:val="20"/>
        </w:rPr>
        <w:t xml:space="preserve">c) 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violação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positiva do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crédito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violação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positiva do contrato), em que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́ dano resultante do contrato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não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 por falta da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prestação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 xml:space="preserve">, mas por ato positivo que viola interesse de </w:t>
      </w:r>
      <w:proofErr w:type="spellStart"/>
      <w:r w:rsidRPr="002E211E">
        <w:rPr>
          <w:rFonts w:ascii="Times New Roman" w:hAnsi="Times New Roman" w:cs="Times New Roman"/>
          <w:sz w:val="20"/>
          <w:szCs w:val="20"/>
        </w:rPr>
        <w:t>proteção</w:t>
      </w:r>
      <w:proofErr w:type="spellEnd"/>
      <w:r w:rsidRPr="002E211E">
        <w:rPr>
          <w:rFonts w:ascii="Times New Roman" w:hAnsi="Times New Roman" w:cs="Times New Roman"/>
          <w:sz w:val="20"/>
          <w:szCs w:val="20"/>
        </w:rPr>
        <w:t>."</w:t>
      </w:r>
    </w:p>
    <w:p w14:paraId="636B2E00" w14:textId="77777777" w:rsidR="001B6786" w:rsidRPr="001B6786" w:rsidRDefault="001B6786" w:rsidP="001B678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D9F8" w14:textId="6ED49DBC" w:rsidR="00426D25" w:rsidRPr="00201440" w:rsidRDefault="006D7B05" w:rsidP="00201440">
      <w:pPr>
        <w:pStyle w:val="Pargrafoda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306DFF">
        <w:rPr>
          <w:rFonts w:ascii="Times New Roman" w:hAnsi="Times New Roman" w:cs="Times New Roman"/>
          <w:sz w:val="24"/>
          <w:szCs w:val="24"/>
        </w:rPr>
        <w:t xml:space="preserve">é controverso doutrinariamente a utilidade da doutrina da violação positiva do crédito no direito brasileiro. </w:t>
      </w:r>
      <w:r w:rsidR="00CE4B6D">
        <w:rPr>
          <w:rFonts w:ascii="Times New Roman" w:hAnsi="Times New Roman" w:cs="Times New Roman"/>
          <w:sz w:val="24"/>
          <w:szCs w:val="24"/>
        </w:rPr>
        <w:t>Assim</w:t>
      </w:r>
      <w:r>
        <w:rPr>
          <w:rFonts w:ascii="Times New Roman" w:hAnsi="Times New Roman" w:cs="Times New Roman"/>
          <w:sz w:val="24"/>
          <w:szCs w:val="24"/>
        </w:rPr>
        <w:t xml:space="preserve">, aponte os possíveis fundamentos </w:t>
      </w:r>
      <w:r w:rsidR="00306DFF">
        <w:rPr>
          <w:rFonts w:ascii="Times New Roman" w:hAnsi="Times New Roman" w:cs="Times New Roman"/>
          <w:sz w:val="24"/>
          <w:szCs w:val="24"/>
        </w:rPr>
        <w:t>favoráveis e desfavoráveis</w:t>
      </w:r>
      <w:r>
        <w:rPr>
          <w:rFonts w:ascii="Times New Roman" w:hAnsi="Times New Roman" w:cs="Times New Roman"/>
          <w:sz w:val="24"/>
          <w:szCs w:val="24"/>
        </w:rPr>
        <w:t xml:space="preserve"> ao entendimento da Autora citada e exponha, brevemente, sua posição sobre o tema, respondendo se a violação positiva do crédito é uma categoria verdadeiramente útil ao direito civil brasileiro.</w:t>
      </w:r>
    </w:p>
    <w:p w14:paraId="37187AA2" w14:textId="77777777" w:rsidR="009925FB" w:rsidRPr="00C52C2B" w:rsidRDefault="009925FB" w:rsidP="009C243A"/>
    <w:p w14:paraId="02BCCB39" w14:textId="175E9723" w:rsidR="00DD6481" w:rsidRDefault="00DD6481" w:rsidP="00DD64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2.</w:t>
      </w:r>
    </w:p>
    <w:p w14:paraId="24819CFA" w14:textId="5BDA3A82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54D52B" w14:textId="767858F9" w:rsidR="00DF2A5D" w:rsidRDefault="006D7B05" w:rsidP="006D7B0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cláusula penal pode ser conceituada como: </w:t>
      </w:r>
      <w:r w:rsidR="00541271">
        <w:rPr>
          <w:rFonts w:ascii="Times New Roman" w:hAnsi="Times New Roman" w:cs="Times New Roman"/>
          <w:sz w:val="24"/>
          <w:szCs w:val="24"/>
        </w:rPr>
        <w:t>“</w:t>
      </w:r>
      <w:r w:rsidR="00541271" w:rsidRPr="00DB2652">
        <w:rPr>
          <w:rFonts w:ascii="Times New Roman" w:hAnsi="Times New Roman" w:cs="Times New Roman"/>
          <w:i/>
          <w:iCs/>
          <w:sz w:val="24"/>
          <w:szCs w:val="24"/>
        </w:rPr>
        <w:t>um pacto acessório a uma obrigação em que o devedor se compromete a uma prestação diversa da assegurada, cujo conteúdo é usualmente pecuniário, que deverá ser prestada caso ocorra o incumprimento dessa obrigação que seja imputável a ele</w:t>
      </w:r>
      <w:r w:rsidR="00541271">
        <w:rPr>
          <w:rFonts w:ascii="Times New Roman" w:hAnsi="Times New Roman" w:cs="Times New Roman"/>
          <w:sz w:val="24"/>
          <w:szCs w:val="24"/>
        </w:rPr>
        <w:t>.”</w:t>
      </w:r>
      <w:r w:rsidR="0054127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 Sua função precípua, no direito civil brasileiro, é liquidar antecipadamente as perdas e danos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CE4B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Código Civil brasileiro estabeleceu regime</w:t>
      </w:r>
      <w:r w:rsidR="005412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distintos às espécies de cláusulas penais previstas no sistema. Em vista disso, responda as perguntas abaixo.</w:t>
      </w:r>
    </w:p>
    <w:p w14:paraId="3EA789F2" w14:textId="00EA0807" w:rsidR="009A6061" w:rsidRDefault="009A6061" w:rsidP="00306DFF">
      <w:pPr>
        <w:pStyle w:val="PargrafodaLista"/>
        <w:numPr>
          <w:ilvl w:val="0"/>
          <w:numId w:val="7"/>
        </w:numPr>
        <w:spacing w:after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Analise as cláusulas abaixo e indique qual sua espécie, delimitando seu regime jurídico conforme o Código Civil brasileiro:</w:t>
      </w:r>
    </w:p>
    <w:p w14:paraId="464B9996" w14:textId="77777777" w:rsidR="009A6061" w:rsidRDefault="009A6061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0292F9" w14:textId="50173BA8" w:rsidR="009A6061" w:rsidRDefault="009A6061" w:rsidP="00306DFF">
      <w:pPr>
        <w:pStyle w:val="PargrafodaLista"/>
        <w:numPr>
          <w:ilvl w:val="0"/>
          <w:numId w:val="8"/>
        </w:numPr>
        <w:spacing w:after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“cláusula X – caso haja o incumprimento da obrigação estabelecida na cláusula Y, o CONTRATANTE A deverá pagar ao CONTRATANTE B o valor de R$XXXXXX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reais) como forma de compensar os prejuízos causados pela violação do contrato.”</w:t>
      </w:r>
    </w:p>
    <w:p w14:paraId="685A5B34" w14:textId="77777777" w:rsidR="009A6061" w:rsidRDefault="009A6061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72B6D5" w14:textId="77777777" w:rsidR="00201440" w:rsidRDefault="009A6061" w:rsidP="00201440">
      <w:pPr>
        <w:pStyle w:val="PargrafodaLista"/>
        <w:numPr>
          <w:ilvl w:val="0"/>
          <w:numId w:val="8"/>
        </w:numPr>
        <w:spacing w:after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“Cláusula X – Em caso de atraso no pagamento estabelecido na cláusula Y, o CONTRATANTE A deverá pagar ao CONTRATANTE B o valor estabelecido na referida cláusula acrescida de R$XX,XX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reais) por dia de atraso, como forma de compensar os prejuízos causados pela violação do contrato.”</w:t>
      </w:r>
    </w:p>
    <w:p w14:paraId="7380590E" w14:textId="62AE50D2" w:rsidR="00515509" w:rsidRPr="00555357" w:rsidRDefault="00156E12" w:rsidP="00201440">
      <w:pPr>
        <w:spacing w:after="24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44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14:paraId="2C810162" w14:textId="25A2C010" w:rsidR="00DB2652" w:rsidRDefault="009C243A" w:rsidP="00306DFF">
      <w:pPr>
        <w:pStyle w:val="PargrafodaLista"/>
        <w:numPr>
          <w:ilvl w:val="0"/>
          <w:numId w:val="7"/>
        </w:numPr>
        <w:spacing w:after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se a cláusula abaixo transcrita é válida e eficaz conforme o Código Civil brasileiro e as razões para tanto:</w:t>
      </w:r>
    </w:p>
    <w:p w14:paraId="4759F5B0" w14:textId="77777777" w:rsidR="009C243A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41B0E5" w14:textId="5D2C479C" w:rsidR="009C243A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243A">
        <w:rPr>
          <w:rFonts w:ascii="Times New Roman" w:hAnsi="Times New Roman" w:cs="Times New Roman"/>
          <w:sz w:val="24"/>
          <w:szCs w:val="24"/>
        </w:rPr>
        <w:t>“As Partes reconhecem que a multa prevista nesta Cláusula 5.1.1. não é excessiva, sendo o valor razoável e suficiente para indenizar a Parte inocente pela resolução do Contrato, não devendo ser controlada judicial ou extrajudicialmente.”</w:t>
      </w:r>
    </w:p>
    <w:p w14:paraId="7B1983DE" w14:textId="77777777" w:rsidR="005950E3" w:rsidRDefault="005950E3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FE6DFF" w14:textId="1CA2520D" w:rsidR="005950E3" w:rsidRDefault="009C243A" w:rsidP="00306DFF">
      <w:pPr>
        <w:pStyle w:val="PargrafodaLista"/>
        <w:numPr>
          <w:ilvl w:val="0"/>
          <w:numId w:val="7"/>
        </w:numPr>
        <w:spacing w:after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 a cláusula penal a seguir transcrita e aponte se ela é válida e eficaz, justificando seu regime jurídico com base no Código Civil:</w:t>
      </w:r>
    </w:p>
    <w:p w14:paraId="754A8DA2" w14:textId="77777777" w:rsidR="009C243A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AC9AFD" w14:textId="6805491B" w:rsidR="009C243A" w:rsidRPr="005950E3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950E3">
        <w:rPr>
          <w:rFonts w:ascii="Times New Roman" w:hAnsi="Times New Roman" w:cs="Times New Roman"/>
          <w:sz w:val="24"/>
          <w:szCs w:val="24"/>
        </w:rPr>
        <w:t xml:space="preserve">CLÁUSULA QUINTA – </w:t>
      </w:r>
      <w:r>
        <w:rPr>
          <w:rFonts w:ascii="Times New Roman" w:hAnsi="Times New Roman" w:cs="Times New Roman"/>
          <w:sz w:val="24"/>
          <w:szCs w:val="24"/>
        </w:rPr>
        <w:t>Extinção</w:t>
      </w:r>
    </w:p>
    <w:p w14:paraId="39C2A291" w14:textId="77777777" w:rsidR="009C243A" w:rsidRPr="005950E3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50E3">
        <w:rPr>
          <w:rFonts w:ascii="Times New Roman" w:hAnsi="Times New Roman" w:cs="Times New Roman"/>
          <w:sz w:val="24"/>
          <w:szCs w:val="24"/>
        </w:rPr>
        <w:t xml:space="preserve">5.1. O presente contrato poderá ser </w:t>
      </w:r>
      <w:r>
        <w:rPr>
          <w:rFonts w:ascii="Times New Roman" w:hAnsi="Times New Roman" w:cs="Times New Roman"/>
          <w:sz w:val="24"/>
          <w:szCs w:val="24"/>
        </w:rPr>
        <w:t>resolvido</w:t>
      </w:r>
      <w:r w:rsidRPr="005950E3">
        <w:rPr>
          <w:rFonts w:ascii="Times New Roman" w:hAnsi="Times New Roman" w:cs="Times New Roman"/>
          <w:sz w:val="24"/>
          <w:szCs w:val="24"/>
        </w:rPr>
        <w:t xml:space="preserve"> de pleno direito, independentemente de qualquer aviso, notificação ou interpelação judicial, nas seguintes hipóteses:</w:t>
      </w:r>
    </w:p>
    <w:p w14:paraId="7AE37987" w14:textId="77777777" w:rsidR="009C243A" w:rsidRPr="005950E3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03BA1C9E" w14:textId="0D08E712" w:rsidR="009C243A" w:rsidRPr="009C243A" w:rsidRDefault="009C243A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50E3">
        <w:rPr>
          <w:rFonts w:ascii="Times New Roman" w:hAnsi="Times New Roman" w:cs="Times New Roman"/>
          <w:sz w:val="24"/>
          <w:szCs w:val="24"/>
        </w:rPr>
        <w:t>5.1.1. Nos casos previstos no item 5.1 acima, a Parte que der causa à r</w:t>
      </w:r>
      <w:r>
        <w:rPr>
          <w:rFonts w:ascii="Times New Roman" w:hAnsi="Times New Roman" w:cs="Times New Roman"/>
          <w:sz w:val="24"/>
          <w:szCs w:val="24"/>
        </w:rPr>
        <w:t>esolução</w:t>
      </w:r>
      <w:r w:rsidRPr="005950E3">
        <w:rPr>
          <w:rFonts w:ascii="Times New Roman" w:hAnsi="Times New Roman" w:cs="Times New Roman"/>
          <w:sz w:val="24"/>
          <w:szCs w:val="24"/>
        </w:rPr>
        <w:t xml:space="preserve"> ficará obrigada a pagar à outra Parte inocente uma </w:t>
      </w:r>
      <w:r>
        <w:rPr>
          <w:rFonts w:ascii="Times New Roman" w:hAnsi="Times New Roman" w:cs="Times New Roman"/>
          <w:sz w:val="24"/>
          <w:szCs w:val="24"/>
        </w:rPr>
        <w:t>multa</w:t>
      </w:r>
      <w:r w:rsidRPr="005950E3">
        <w:rPr>
          <w:rFonts w:ascii="Times New Roman" w:hAnsi="Times New Roman" w:cs="Times New Roman"/>
          <w:sz w:val="24"/>
          <w:szCs w:val="24"/>
        </w:rPr>
        <w:t xml:space="preserve"> correspondente a </w:t>
      </w:r>
      <w:r>
        <w:rPr>
          <w:rFonts w:ascii="Times New Roman" w:hAnsi="Times New Roman" w:cs="Times New Roman"/>
          <w:sz w:val="24"/>
          <w:szCs w:val="24"/>
        </w:rPr>
        <w:t>R$XX,XX</w:t>
      </w:r>
      <w:r w:rsidRPr="005950E3">
        <w:rPr>
          <w:rFonts w:ascii="Times New Roman" w:hAnsi="Times New Roman" w:cs="Times New Roman"/>
          <w:sz w:val="24"/>
          <w:szCs w:val="24"/>
        </w:rPr>
        <w:t xml:space="preserve">, sem prejuízo de ser responsável </w:t>
      </w:r>
      <w:r>
        <w:rPr>
          <w:rFonts w:ascii="Times New Roman" w:hAnsi="Times New Roman" w:cs="Times New Roman"/>
          <w:sz w:val="24"/>
          <w:szCs w:val="24"/>
        </w:rPr>
        <w:t xml:space="preserve">por pagar a indenização suplementar </w:t>
      </w:r>
      <w:r w:rsidRPr="005950E3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os prejuízos apurados</w:t>
      </w:r>
      <w:r w:rsidRPr="00595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102ED18" w14:textId="77777777" w:rsidR="005950E3" w:rsidRDefault="005950E3" w:rsidP="00306DFF">
      <w:pPr>
        <w:pStyle w:val="PargrafodaLista"/>
        <w:spacing w:after="24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532DE" w14:textId="43F5C40E" w:rsidR="00B9754A" w:rsidRDefault="00B9754A" w:rsidP="00B975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3.</w:t>
      </w:r>
    </w:p>
    <w:p w14:paraId="6B7D2951" w14:textId="77777777" w:rsidR="00B9754A" w:rsidRDefault="00B9754A" w:rsidP="00B975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96EDA" w14:textId="0477935E" w:rsidR="00EA77A6" w:rsidRDefault="00340564" w:rsidP="00B97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Recentemente, julgou-se caso sobre a alteração da correção monetária decorrente da imprevisível pandemia da COVID-1</w:t>
      </w:r>
      <w:r w:rsidR="00EA77A6">
        <w:rPr>
          <w:rFonts w:ascii="Times New Roman" w:hAnsi="Times New Roman" w:cs="Times New Roman"/>
          <w:sz w:val="24"/>
          <w:szCs w:val="24"/>
        </w:rPr>
        <w:t xml:space="preserve">9. </w:t>
      </w:r>
      <w:r w:rsidRPr="00340564">
        <w:rPr>
          <w:rFonts w:ascii="Times New Roman" w:hAnsi="Times New Roman" w:cs="Times New Roman"/>
          <w:sz w:val="24"/>
          <w:szCs w:val="24"/>
        </w:rPr>
        <w:t>Tratava-se de contrato de locação não residencial</w:t>
      </w:r>
      <w:r w:rsidR="001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9E0">
        <w:rPr>
          <w:rFonts w:ascii="Times New Roman" w:hAnsi="Times New Roman" w:cs="Times New Roman"/>
          <w:i/>
          <w:iCs/>
          <w:sz w:val="24"/>
          <w:szCs w:val="24"/>
        </w:rPr>
        <w:t>built</w:t>
      </w:r>
      <w:proofErr w:type="spellEnd"/>
      <w:r w:rsidR="001319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19E0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="001319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19E0">
        <w:rPr>
          <w:rFonts w:ascii="Times New Roman" w:hAnsi="Times New Roman" w:cs="Times New Roman"/>
          <w:i/>
          <w:iCs/>
          <w:sz w:val="24"/>
          <w:szCs w:val="24"/>
        </w:rPr>
        <w:t>suit</w:t>
      </w:r>
      <w:proofErr w:type="spellEnd"/>
      <w:r w:rsidRPr="00340564">
        <w:rPr>
          <w:rFonts w:ascii="Times New Roman" w:hAnsi="Times New Roman" w:cs="Times New Roman"/>
          <w:sz w:val="24"/>
          <w:szCs w:val="24"/>
        </w:rPr>
        <w:t xml:space="preserve"> de natureza empresarial</w:t>
      </w:r>
      <w:r w:rsidR="00EA77A6">
        <w:rPr>
          <w:rFonts w:ascii="Times New Roman" w:hAnsi="Times New Roman" w:cs="Times New Roman"/>
          <w:sz w:val="24"/>
          <w:szCs w:val="24"/>
        </w:rPr>
        <w:t xml:space="preserve"> entre </w:t>
      </w:r>
      <w:r w:rsidRPr="00340564">
        <w:rPr>
          <w:rFonts w:ascii="Times New Roman" w:hAnsi="Times New Roman" w:cs="Times New Roman"/>
          <w:sz w:val="24"/>
          <w:szCs w:val="24"/>
        </w:rPr>
        <w:t>duas empresas de grande porte, em que a variação da correção monetária, IGP-M, chegou à vultosa porcentagem de 37% em maio de 2021, implicando aumento excessivo na prestação</w:t>
      </w:r>
      <w:r>
        <w:rPr>
          <w:rFonts w:ascii="Times New Roman" w:hAnsi="Times New Roman" w:cs="Times New Roman"/>
          <w:sz w:val="24"/>
          <w:szCs w:val="24"/>
        </w:rPr>
        <w:t xml:space="preserve"> pecuniária</w:t>
      </w:r>
      <w:r w:rsidRPr="00340564">
        <w:rPr>
          <w:rFonts w:ascii="Times New Roman" w:hAnsi="Times New Roman" w:cs="Times New Roman"/>
          <w:sz w:val="24"/>
          <w:szCs w:val="24"/>
        </w:rPr>
        <w:t xml:space="preserve"> da locatária. </w:t>
      </w:r>
      <w:r>
        <w:rPr>
          <w:rFonts w:ascii="Times New Roman" w:hAnsi="Times New Roman" w:cs="Times New Roman"/>
          <w:sz w:val="24"/>
          <w:szCs w:val="24"/>
        </w:rPr>
        <w:t>A locatária pretendia a revisão do contrato para, no mês de maio de 2021, alterar o índice de atualização monetária. Analisando o caso, o</w:t>
      </w:r>
      <w:r w:rsidRPr="00340564">
        <w:rPr>
          <w:rFonts w:ascii="Times New Roman" w:hAnsi="Times New Roman" w:cs="Times New Roman"/>
          <w:sz w:val="24"/>
          <w:szCs w:val="24"/>
        </w:rPr>
        <w:t xml:space="preserve"> pedido de revisão contratual fo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40564">
        <w:rPr>
          <w:rFonts w:ascii="Times New Roman" w:hAnsi="Times New Roman" w:cs="Times New Roman"/>
          <w:sz w:val="24"/>
          <w:szCs w:val="24"/>
        </w:rPr>
        <w:t>provido, a fim de, na específica prestação de maio, rever o índice</w:t>
      </w:r>
      <w:r w:rsidR="00EA77A6">
        <w:rPr>
          <w:rFonts w:ascii="Times New Roman" w:hAnsi="Times New Roman" w:cs="Times New Roman"/>
          <w:sz w:val="24"/>
          <w:szCs w:val="24"/>
        </w:rPr>
        <w:t>, conforme a ementa abaixo:</w:t>
      </w:r>
    </w:p>
    <w:p w14:paraId="237B798E" w14:textId="3FB30967" w:rsidR="00EA77A6" w:rsidRPr="00EA77A6" w:rsidRDefault="00EA77A6" w:rsidP="00EA77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A77A6">
        <w:rPr>
          <w:rFonts w:ascii="Times New Roman" w:hAnsi="Times New Roman" w:cs="Times New Roman"/>
          <w:sz w:val="20"/>
          <w:szCs w:val="20"/>
        </w:rPr>
        <w:t>LOCAÇÃO NÃO RESIDENCIAL. AÇÃO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REVISIONAL DE CONTRATO. ALEGAÇÃO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CERCEAMENTO DE DEFESA POR AUSÊNCIA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DILAÇÃO PROBATÓRIA. INOCORRÊNCIA.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PLEITO DE SUBSTITUIÇÃO DO ÍNDICE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REAJUSTE (IGP-M PELO IPC-FIPE).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ADMISSIBILIDADE PARCIAL. CONSTATAÇÃO 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NECESSIDADE DA SUBSTITUIÇÃO, COMO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FORMA DE ASSEGURAR O EQUILÍBRIO ENTRE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AS PARTES, DIANTE DOS REFLEXOS GERADOS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PELA CRISE DA PANDEMIA DA COVID-19.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MEDIDA EXCEPCIONAL, A SER APLICADA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REAJUSTE INCIDENTE EM MAIO DE 2021.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RECURSO PROVIDO EM PARTE. 1. O julgamento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antecipado da lide não implica cerceamento de defesa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quando os elementos de instrução constantes dos autos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são suficientes para a solução da controvérsia. 2. É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 xml:space="preserve">notório conhecimento o fato de que as </w:t>
      </w:r>
      <w:r w:rsidRPr="00EA77A6">
        <w:rPr>
          <w:rFonts w:ascii="Times New Roman" w:hAnsi="Times New Roman" w:cs="Times New Roman"/>
          <w:sz w:val="20"/>
          <w:szCs w:val="20"/>
        </w:rPr>
        <w:lastRenderedPageBreak/>
        <w:t>medidas adotadas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pelas autoridades sanitárias para o enfrentamento 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pandemia da covid-19 geraram consequências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diversas ordens, com graves reflexos na economia. 3.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partes convencionaram o reajuste do aluguel pelo IGP-M, contratação que se realizou em época anterior,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modo que não tinham condições de prever o impacto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propiciado pelo surgimento da pandemia, fato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imprevisível. 4. Um dos reflexos dessa crise incidiu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justamente na despropositada elevação do percentual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desse índice, que implicou evidente desequilíbrio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relacionamento das partes. O resultado da aplicação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revela que o percentual deixou de atender à finalidade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do contrato, que era de assegurar a mantença 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realidade de valor, implicando verdadeira majoração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valor locatício, o que se mostra inadmissível. 5. Assim, comporta parcial acolhimento o pedido de substituição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do IGP-M pelo IPC-FIPE, a ser aplicado somente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7A6">
        <w:rPr>
          <w:rFonts w:ascii="Times New Roman" w:hAnsi="Times New Roman" w:cs="Times New Roman"/>
          <w:sz w:val="20"/>
          <w:szCs w:val="20"/>
        </w:rPr>
        <w:t>reajuste incidente em maio de 2021.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EA77A6">
        <w:rPr>
          <w:rFonts w:ascii="Times New Roman" w:hAnsi="Times New Roman" w:cs="Times New Roman"/>
          <w:sz w:val="20"/>
          <w:szCs w:val="20"/>
        </w:rPr>
        <w:t xml:space="preserve">TJSP; Apelação cível 1063984-97.2021.8.26.0100; Relator (a): Antonio </w:t>
      </w:r>
      <w:proofErr w:type="spellStart"/>
      <w:r w:rsidRPr="00EA77A6">
        <w:rPr>
          <w:rFonts w:ascii="Times New Roman" w:hAnsi="Times New Roman" w:cs="Times New Roman"/>
          <w:sz w:val="20"/>
          <w:szCs w:val="20"/>
        </w:rPr>
        <w:t>Rigolin</w:t>
      </w:r>
      <w:proofErr w:type="spellEnd"/>
      <w:r w:rsidRPr="00EA77A6">
        <w:rPr>
          <w:rFonts w:ascii="Times New Roman" w:hAnsi="Times New Roman" w:cs="Times New Roman"/>
          <w:sz w:val="20"/>
          <w:szCs w:val="20"/>
        </w:rPr>
        <w:t>; Órgão Julgador: 31ª Câmara de Direito Privado; 18ª Vara cível – Foro Central Cível; Data do Julgamento: 23/05/2023; Data de Registro: 23/05/2023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10ABACF" w14:textId="77777777" w:rsidR="00EA77A6" w:rsidRDefault="00EA77A6" w:rsidP="00B97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7DBA" w14:textId="7161F8FD" w:rsidR="00B9754A" w:rsidRDefault="00340564" w:rsidP="00B97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debatido em sala de aula sobre o princípio do nominalismo</w:t>
      </w:r>
      <w:r w:rsidR="00541271">
        <w:rPr>
          <w:rFonts w:ascii="Times New Roman" w:hAnsi="Times New Roman" w:cs="Times New Roman"/>
          <w:sz w:val="24"/>
          <w:szCs w:val="24"/>
        </w:rPr>
        <w:t>, suas exceções</w:t>
      </w:r>
      <w:r>
        <w:rPr>
          <w:rFonts w:ascii="Times New Roman" w:hAnsi="Times New Roman" w:cs="Times New Roman"/>
          <w:sz w:val="24"/>
          <w:szCs w:val="24"/>
        </w:rPr>
        <w:t xml:space="preserve"> e da autonomia privada nas relações civis e empresariais, </w:t>
      </w:r>
      <w:r w:rsidR="00EA77A6">
        <w:rPr>
          <w:rFonts w:ascii="Times New Roman" w:hAnsi="Times New Roman" w:cs="Times New Roman"/>
          <w:sz w:val="24"/>
          <w:szCs w:val="24"/>
        </w:rPr>
        <w:t>analise criticamente o caso e indique se o entendimento está ou não adequado com o Código Civil brasileiro.</w:t>
      </w:r>
    </w:p>
    <w:sectPr w:rsidR="00B9754A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AE15" w14:textId="77777777" w:rsidR="001571CD" w:rsidRDefault="001571CD" w:rsidP="001B6786">
      <w:pPr>
        <w:spacing w:after="0" w:line="240" w:lineRule="auto"/>
      </w:pPr>
      <w:r>
        <w:separator/>
      </w:r>
    </w:p>
  </w:endnote>
  <w:endnote w:type="continuationSeparator" w:id="0">
    <w:p w14:paraId="34701DC9" w14:textId="77777777" w:rsidR="001571CD" w:rsidRDefault="001571CD" w:rsidP="001B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2F91" w14:textId="77777777" w:rsidR="001571CD" w:rsidRDefault="001571CD" w:rsidP="001B6786">
      <w:pPr>
        <w:spacing w:after="0" w:line="240" w:lineRule="auto"/>
      </w:pPr>
      <w:r>
        <w:separator/>
      </w:r>
    </w:p>
  </w:footnote>
  <w:footnote w:type="continuationSeparator" w:id="0">
    <w:p w14:paraId="4AD8E537" w14:textId="77777777" w:rsidR="001571CD" w:rsidRDefault="001571CD" w:rsidP="001B6786">
      <w:pPr>
        <w:spacing w:after="0" w:line="240" w:lineRule="auto"/>
      </w:pPr>
      <w:r>
        <w:continuationSeparator/>
      </w:r>
    </w:p>
  </w:footnote>
  <w:footnote w:id="1">
    <w:p w14:paraId="4E2231E1" w14:textId="18532382" w:rsidR="00483AF2" w:rsidRDefault="00483AF2">
      <w:pPr>
        <w:pStyle w:val="Textodenotaderodap"/>
      </w:pPr>
      <w:r w:rsidRPr="00C52C2B">
        <w:rPr>
          <w:rStyle w:val="Refdenotaderodap"/>
        </w:rPr>
        <w:footnoteRef/>
      </w:r>
      <w:r w:rsidRPr="009B135A">
        <w:rPr>
          <w:rStyle w:val="Refdenotaderodap"/>
          <w:lang w:val="de-DE"/>
        </w:rPr>
        <w:t xml:space="preserve"> </w:t>
      </w:r>
      <w:r w:rsidRPr="009B135A">
        <w:rPr>
          <w:rFonts w:ascii="Times New Roman" w:hAnsi="Times New Roman" w:cs="Times New Roman"/>
          <w:lang w:val="de-DE"/>
        </w:rPr>
        <w:t xml:space="preserve">SIMÃO, José Fernando. Art. 389. </w:t>
      </w:r>
      <w:r w:rsidR="00C52C2B" w:rsidRPr="009B135A">
        <w:rPr>
          <w:rFonts w:ascii="Times New Roman" w:hAnsi="Times New Roman" w:cs="Times New Roman"/>
          <w:lang w:val="de-DE"/>
        </w:rPr>
        <w:t xml:space="preserve">In: SCHREIBER, Anderson </w:t>
      </w:r>
      <w:r w:rsidR="00C52C2B" w:rsidRPr="009B135A">
        <w:rPr>
          <w:rFonts w:ascii="Times New Roman" w:hAnsi="Times New Roman" w:cs="Times New Roman"/>
          <w:i/>
          <w:iCs/>
          <w:lang w:val="de-DE"/>
        </w:rPr>
        <w:t>et al</w:t>
      </w:r>
      <w:r w:rsidR="00C52C2B" w:rsidRPr="009B135A">
        <w:rPr>
          <w:rFonts w:ascii="Times New Roman" w:hAnsi="Times New Roman" w:cs="Times New Roman"/>
          <w:lang w:val="de-DE"/>
        </w:rPr>
        <w:t xml:space="preserve">. </w:t>
      </w:r>
      <w:r w:rsidRPr="00C52C2B">
        <w:rPr>
          <w:rFonts w:ascii="Times New Roman" w:hAnsi="Times New Roman" w:cs="Times New Roman"/>
          <w:i/>
          <w:iCs/>
        </w:rPr>
        <w:t>Código Civil comentado</w:t>
      </w:r>
      <w:r w:rsidRPr="00C52C2B">
        <w:rPr>
          <w:rFonts w:ascii="Times New Roman" w:hAnsi="Times New Roman" w:cs="Times New Roman"/>
        </w:rPr>
        <w:t xml:space="preserve">: doutrina e jurisprudência. </w:t>
      </w:r>
      <w:r w:rsidR="00C52C2B" w:rsidRPr="00C52C2B">
        <w:rPr>
          <w:rFonts w:ascii="Times New Roman" w:hAnsi="Times New Roman" w:cs="Times New Roman"/>
        </w:rPr>
        <w:t xml:space="preserve">3. ed. Rio de Janeiro: Forense, 2021, </w:t>
      </w:r>
      <w:r w:rsidRPr="00C52C2B">
        <w:rPr>
          <w:rFonts w:ascii="Times New Roman" w:hAnsi="Times New Roman" w:cs="Times New Roman"/>
        </w:rPr>
        <w:t>p. 249.</w:t>
      </w:r>
    </w:p>
  </w:footnote>
  <w:footnote w:id="2">
    <w:p w14:paraId="6F9FF576" w14:textId="3B4B4D21" w:rsidR="001B6786" w:rsidRPr="00483AF2" w:rsidRDefault="001B6786" w:rsidP="00483AF2">
      <w:pPr>
        <w:pStyle w:val="Textodenotaderodap"/>
        <w:jc w:val="both"/>
        <w:rPr>
          <w:rFonts w:ascii="Times New Roman" w:hAnsi="Times New Roman" w:cs="Times New Roman"/>
        </w:rPr>
      </w:pPr>
      <w:r w:rsidRPr="00483AF2">
        <w:rPr>
          <w:rStyle w:val="Refdenotaderodap"/>
          <w:rFonts w:ascii="Times New Roman" w:hAnsi="Times New Roman" w:cs="Times New Roman"/>
        </w:rPr>
        <w:footnoteRef/>
      </w:r>
      <w:r w:rsidRPr="00483AF2">
        <w:rPr>
          <w:rFonts w:ascii="Times New Roman" w:hAnsi="Times New Roman" w:cs="Times New Roman"/>
        </w:rPr>
        <w:t xml:space="preserve"> MARTINS-COSTA, Judith. </w:t>
      </w:r>
      <w:r w:rsidR="00483AF2" w:rsidRPr="00483AF2">
        <w:rPr>
          <w:rFonts w:ascii="Times New Roman" w:hAnsi="Times New Roman" w:cs="Times New Roman"/>
          <w:i/>
          <w:iCs/>
        </w:rPr>
        <w:t>Comentários ao novo Código Civil</w:t>
      </w:r>
      <w:r w:rsidR="00483AF2" w:rsidRPr="00483AF2">
        <w:rPr>
          <w:rFonts w:ascii="Times New Roman" w:hAnsi="Times New Roman" w:cs="Times New Roman"/>
        </w:rPr>
        <w:t>: do inadimplemento das obrigações. 2. ed. Rio de Janeiro: Forense, 2009, v. 5, t. 2, p</w:t>
      </w:r>
      <w:r w:rsidRPr="00483AF2">
        <w:rPr>
          <w:rFonts w:ascii="Times New Roman" w:hAnsi="Times New Roman" w:cs="Times New Roman"/>
        </w:rPr>
        <w:t>. 109.</w:t>
      </w:r>
    </w:p>
  </w:footnote>
  <w:footnote w:id="3">
    <w:p w14:paraId="01FA3B67" w14:textId="06606F8D" w:rsidR="00541271" w:rsidRPr="00DB2652" w:rsidRDefault="00541271" w:rsidP="00DB2652">
      <w:pPr>
        <w:pStyle w:val="Textodenotaderodap"/>
        <w:jc w:val="both"/>
        <w:rPr>
          <w:rFonts w:ascii="Times New Roman" w:hAnsi="Times New Roman" w:cs="Times New Roman"/>
        </w:rPr>
      </w:pPr>
      <w:r w:rsidRPr="00DB2652">
        <w:rPr>
          <w:rStyle w:val="Refdenotaderodap"/>
          <w:rFonts w:ascii="Times New Roman" w:hAnsi="Times New Roman" w:cs="Times New Roman"/>
        </w:rPr>
        <w:footnoteRef/>
      </w:r>
      <w:r w:rsidRPr="00DB2652">
        <w:rPr>
          <w:rFonts w:ascii="Times New Roman" w:hAnsi="Times New Roman" w:cs="Times New Roman"/>
        </w:rPr>
        <w:t xml:space="preserve"> SILVEIRA, Marcelo Matos Amaro da. </w:t>
      </w:r>
      <w:r w:rsidRPr="00DB2652">
        <w:rPr>
          <w:rFonts w:ascii="Times New Roman" w:hAnsi="Times New Roman" w:cs="Times New Roman"/>
          <w:i/>
          <w:iCs/>
        </w:rPr>
        <w:t>Cláusula penal e sinal</w:t>
      </w:r>
      <w:r w:rsidRPr="00DB2652">
        <w:rPr>
          <w:rFonts w:ascii="Times New Roman" w:hAnsi="Times New Roman" w:cs="Times New Roman"/>
        </w:rPr>
        <w:t xml:space="preserve">: as penas privadas convencionais na perspectiva do direito português e brasileiro. Rio de Janeiro: GZ, 2019, p. 5. </w:t>
      </w:r>
    </w:p>
  </w:footnote>
  <w:footnote w:id="4">
    <w:p w14:paraId="2E511F10" w14:textId="64BE1B5F" w:rsidR="006D7B05" w:rsidRPr="00DB2652" w:rsidRDefault="006D7B05" w:rsidP="00DB2652">
      <w:pPr>
        <w:pStyle w:val="Textodenotaderodap"/>
        <w:jc w:val="both"/>
        <w:rPr>
          <w:rFonts w:ascii="Times New Roman" w:hAnsi="Times New Roman" w:cs="Times New Roman"/>
        </w:rPr>
      </w:pPr>
      <w:r w:rsidRPr="00DB2652">
        <w:rPr>
          <w:rStyle w:val="Refdenotaderodap"/>
          <w:rFonts w:ascii="Times New Roman" w:hAnsi="Times New Roman" w:cs="Times New Roman"/>
        </w:rPr>
        <w:footnoteRef/>
      </w:r>
      <w:r w:rsidRPr="00DB2652">
        <w:rPr>
          <w:rFonts w:ascii="Times New Roman" w:hAnsi="Times New Roman" w:cs="Times New Roman"/>
        </w:rPr>
        <w:t xml:space="preserve"> Nesse sentido, por todos, cf. RODRIGUES JÚNIOR, Otávio Luiz. </w:t>
      </w:r>
      <w:r w:rsidR="00DB2652" w:rsidRPr="00DB2652">
        <w:rPr>
          <w:rFonts w:ascii="Times New Roman" w:hAnsi="Times New Roman" w:cs="Times New Roman"/>
          <w:i/>
          <w:iCs/>
        </w:rPr>
        <w:t>Função, natureza e modificação da cláusula penal no direito civil brasileiro</w:t>
      </w:r>
      <w:r w:rsidR="00DB2652">
        <w:rPr>
          <w:rFonts w:ascii="Times New Roman" w:hAnsi="Times New Roman" w:cs="Times New Roman"/>
        </w:rPr>
        <w:t>. Tese (Doutorado em Direito), Faculdade de Direito, Universidade de São Paulo, São Paulo, 2006, p. 242-247 e 282.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32D"/>
    <w:multiLevelType w:val="hybridMultilevel"/>
    <w:tmpl w:val="1520BA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590"/>
    <w:multiLevelType w:val="hybridMultilevel"/>
    <w:tmpl w:val="20CA6FE2"/>
    <w:lvl w:ilvl="0" w:tplc="4DA8BA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47A8"/>
    <w:multiLevelType w:val="hybridMultilevel"/>
    <w:tmpl w:val="AEDA8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12A4A4E"/>
    <w:multiLevelType w:val="hybridMultilevel"/>
    <w:tmpl w:val="93E8A9A2"/>
    <w:lvl w:ilvl="0" w:tplc="2AC421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77741">
    <w:abstractNumId w:val="6"/>
  </w:num>
  <w:num w:numId="2" w16cid:durableId="1993871216">
    <w:abstractNumId w:val="2"/>
  </w:num>
  <w:num w:numId="3" w16cid:durableId="787972011">
    <w:abstractNumId w:val="4"/>
  </w:num>
  <w:num w:numId="4" w16cid:durableId="21980588">
    <w:abstractNumId w:val="7"/>
  </w:num>
  <w:num w:numId="5" w16cid:durableId="692651310">
    <w:abstractNumId w:val="5"/>
  </w:num>
  <w:num w:numId="6" w16cid:durableId="1125351351">
    <w:abstractNumId w:val="3"/>
  </w:num>
  <w:num w:numId="7" w16cid:durableId="678234512">
    <w:abstractNumId w:val="0"/>
  </w:num>
  <w:num w:numId="8" w16cid:durableId="32520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015DC1"/>
    <w:rsid w:val="00036CD5"/>
    <w:rsid w:val="000526E4"/>
    <w:rsid w:val="000612EF"/>
    <w:rsid w:val="00084094"/>
    <w:rsid w:val="000F5915"/>
    <w:rsid w:val="000F7F9B"/>
    <w:rsid w:val="00117224"/>
    <w:rsid w:val="001319E0"/>
    <w:rsid w:val="001467D6"/>
    <w:rsid w:val="0015480E"/>
    <w:rsid w:val="00156E12"/>
    <w:rsid w:val="001571CD"/>
    <w:rsid w:val="0016198C"/>
    <w:rsid w:val="0019772F"/>
    <w:rsid w:val="001B40BA"/>
    <w:rsid w:val="001B6786"/>
    <w:rsid w:val="001C394E"/>
    <w:rsid w:val="001D45C4"/>
    <w:rsid w:val="00201440"/>
    <w:rsid w:val="002448A9"/>
    <w:rsid w:val="00295D88"/>
    <w:rsid w:val="002D0C61"/>
    <w:rsid w:val="002D1E9D"/>
    <w:rsid w:val="002E211E"/>
    <w:rsid w:val="002F1466"/>
    <w:rsid w:val="00306DFF"/>
    <w:rsid w:val="00321A81"/>
    <w:rsid w:val="0032578E"/>
    <w:rsid w:val="00340564"/>
    <w:rsid w:val="003568D5"/>
    <w:rsid w:val="00366EF5"/>
    <w:rsid w:val="003B792A"/>
    <w:rsid w:val="003C7827"/>
    <w:rsid w:val="0040219D"/>
    <w:rsid w:val="0041402D"/>
    <w:rsid w:val="00426D25"/>
    <w:rsid w:val="00483AF2"/>
    <w:rsid w:val="004A21C1"/>
    <w:rsid w:val="004B58D8"/>
    <w:rsid w:val="004F2E76"/>
    <w:rsid w:val="00515509"/>
    <w:rsid w:val="00541271"/>
    <w:rsid w:val="00555357"/>
    <w:rsid w:val="00564A5A"/>
    <w:rsid w:val="00582B84"/>
    <w:rsid w:val="005950E3"/>
    <w:rsid w:val="005A5967"/>
    <w:rsid w:val="005C0EDC"/>
    <w:rsid w:val="005C12CD"/>
    <w:rsid w:val="005E52BA"/>
    <w:rsid w:val="005F5525"/>
    <w:rsid w:val="00614901"/>
    <w:rsid w:val="00652553"/>
    <w:rsid w:val="006A64B6"/>
    <w:rsid w:val="006D16CF"/>
    <w:rsid w:val="006D7B05"/>
    <w:rsid w:val="007039C9"/>
    <w:rsid w:val="007370C2"/>
    <w:rsid w:val="00757925"/>
    <w:rsid w:val="00771681"/>
    <w:rsid w:val="00790BA6"/>
    <w:rsid w:val="007C4F7C"/>
    <w:rsid w:val="007D1E0C"/>
    <w:rsid w:val="007F084A"/>
    <w:rsid w:val="007F12AD"/>
    <w:rsid w:val="008242CB"/>
    <w:rsid w:val="008547FF"/>
    <w:rsid w:val="0086547D"/>
    <w:rsid w:val="008D6A99"/>
    <w:rsid w:val="00903E13"/>
    <w:rsid w:val="00910076"/>
    <w:rsid w:val="00931823"/>
    <w:rsid w:val="009878A9"/>
    <w:rsid w:val="00987C9C"/>
    <w:rsid w:val="009925FB"/>
    <w:rsid w:val="009A6061"/>
    <w:rsid w:val="009B09AE"/>
    <w:rsid w:val="009B135A"/>
    <w:rsid w:val="009C243A"/>
    <w:rsid w:val="00A17B89"/>
    <w:rsid w:val="00A35856"/>
    <w:rsid w:val="00A540AF"/>
    <w:rsid w:val="00A60FE9"/>
    <w:rsid w:val="00AC5702"/>
    <w:rsid w:val="00AD6B86"/>
    <w:rsid w:val="00AE69EE"/>
    <w:rsid w:val="00B171DE"/>
    <w:rsid w:val="00B75A15"/>
    <w:rsid w:val="00B9754A"/>
    <w:rsid w:val="00BA2D09"/>
    <w:rsid w:val="00BB21CF"/>
    <w:rsid w:val="00BC5483"/>
    <w:rsid w:val="00C06D02"/>
    <w:rsid w:val="00C21F19"/>
    <w:rsid w:val="00C23B35"/>
    <w:rsid w:val="00C337E6"/>
    <w:rsid w:val="00C52C2B"/>
    <w:rsid w:val="00C731F3"/>
    <w:rsid w:val="00CB0D9A"/>
    <w:rsid w:val="00CB2018"/>
    <w:rsid w:val="00CE4B6D"/>
    <w:rsid w:val="00D0434C"/>
    <w:rsid w:val="00D12281"/>
    <w:rsid w:val="00D27E82"/>
    <w:rsid w:val="00D43A56"/>
    <w:rsid w:val="00D7268D"/>
    <w:rsid w:val="00D80C09"/>
    <w:rsid w:val="00D93BC6"/>
    <w:rsid w:val="00D9734A"/>
    <w:rsid w:val="00DB2652"/>
    <w:rsid w:val="00DD6481"/>
    <w:rsid w:val="00DF2A5D"/>
    <w:rsid w:val="00E12EA7"/>
    <w:rsid w:val="00E14A53"/>
    <w:rsid w:val="00E317F1"/>
    <w:rsid w:val="00E343F3"/>
    <w:rsid w:val="00E35913"/>
    <w:rsid w:val="00E43541"/>
    <w:rsid w:val="00E543B3"/>
    <w:rsid w:val="00E96AFC"/>
    <w:rsid w:val="00EA77A6"/>
    <w:rsid w:val="00EC726B"/>
    <w:rsid w:val="00EE349A"/>
    <w:rsid w:val="00EE51C9"/>
    <w:rsid w:val="00F010F6"/>
    <w:rsid w:val="00F2500E"/>
    <w:rsid w:val="00F268E3"/>
    <w:rsid w:val="00F32556"/>
    <w:rsid w:val="00F439F1"/>
    <w:rsid w:val="00F5606C"/>
    <w:rsid w:val="00F82006"/>
    <w:rsid w:val="00FA4D34"/>
    <w:rsid w:val="00FC3060"/>
    <w:rsid w:val="00FC342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A8B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  <w:style w:type="paragraph" w:styleId="Reviso">
    <w:name w:val="Revision"/>
    <w:hidden/>
    <w:uiPriority w:val="99"/>
    <w:semiHidden/>
    <w:rsid w:val="00C731F3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67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67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678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B13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13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13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13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1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B2C5-AE89-42D0-953D-D5743ED7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Alessandra Lagos Chaves</cp:lastModifiedBy>
  <cp:revision>4</cp:revision>
  <dcterms:created xsi:type="dcterms:W3CDTF">2023-06-14T21:08:00Z</dcterms:created>
  <dcterms:modified xsi:type="dcterms:W3CDTF">2023-06-15T16:51:00Z</dcterms:modified>
</cp:coreProperties>
</file>