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79" w:rsidRPr="00DF7238" w:rsidRDefault="00614C79" w:rsidP="003026D4">
      <w:pPr>
        <w:keepNext/>
        <w:widowControl w:val="0"/>
        <w:spacing w:before="120" w:after="120" w:line="360" w:lineRule="auto"/>
        <w:jc w:val="center"/>
        <w:rPr>
          <w:b/>
          <w:smallCaps/>
          <w:color w:val="76923C" w:themeColor="accent3" w:themeShade="BF"/>
          <w:sz w:val="28"/>
          <w:szCs w:val="28"/>
          <w:u w:val="single"/>
        </w:rPr>
      </w:pPr>
      <w:bookmarkStart w:id="0" w:name="_GoBack"/>
      <w:bookmarkEnd w:id="0"/>
      <w:r w:rsidRPr="00DF7238">
        <w:rPr>
          <w:b/>
          <w:smallCaps/>
          <w:color w:val="76923C" w:themeColor="accent3" w:themeShade="BF"/>
          <w:sz w:val="28"/>
          <w:szCs w:val="28"/>
          <w:u w:val="single"/>
        </w:rPr>
        <w:t xml:space="preserve">As Patentes Vegetais e as Cultivares </w:t>
      </w:r>
    </w:p>
    <w:p w:rsidR="00614C79" w:rsidRPr="00CC39E9" w:rsidRDefault="00614C79" w:rsidP="003026D4">
      <w:pPr>
        <w:keepNext/>
        <w:widowControl w:val="0"/>
        <w:spacing w:before="120" w:after="120" w:line="360" w:lineRule="auto"/>
        <w:rPr>
          <w:b/>
          <w:sz w:val="24"/>
          <w:szCs w:val="24"/>
          <w:u w:val="single"/>
        </w:rPr>
      </w:pPr>
    </w:p>
    <w:p w:rsidR="00614C79" w:rsidRPr="00CC39E9" w:rsidRDefault="00614C79" w:rsidP="003026D4">
      <w:pPr>
        <w:keepNext/>
        <w:widowControl w:val="0"/>
        <w:spacing w:before="120" w:after="120" w:line="360" w:lineRule="auto"/>
        <w:rPr>
          <w:b/>
          <w:sz w:val="24"/>
          <w:szCs w:val="24"/>
          <w:u w:val="single"/>
        </w:rPr>
      </w:pPr>
    </w:p>
    <w:p w:rsidR="00614C79" w:rsidRPr="00DF7238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color w:val="76923C" w:themeColor="accent3" w:themeShade="BF"/>
          <w:sz w:val="24"/>
          <w:szCs w:val="24"/>
          <w:u w:val="single"/>
        </w:rPr>
      </w:pPr>
      <w:r w:rsidRPr="00DF7238">
        <w:rPr>
          <w:b/>
          <w:color w:val="76923C" w:themeColor="accent3" w:themeShade="BF"/>
          <w:sz w:val="24"/>
          <w:szCs w:val="24"/>
          <w:u w:val="single"/>
        </w:rPr>
        <w:t>- Questão da importância da biotecnologia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sz w:val="24"/>
          <w:szCs w:val="24"/>
          <w:u w:val="single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  <w:r w:rsidRPr="00DF7238">
        <w:rPr>
          <w:b/>
          <w:color w:val="76923C" w:themeColor="accent3" w:themeShade="BF"/>
          <w:sz w:val="24"/>
          <w:szCs w:val="24"/>
          <w:u w:val="single"/>
        </w:rPr>
        <w:t>- Justificativa para a criação de novas espécies</w:t>
      </w:r>
      <w:r w:rsidRPr="00CC39E9">
        <w:rPr>
          <w:sz w:val="24"/>
          <w:szCs w:val="24"/>
        </w:rPr>
        <w:t xml:space="preserve"> vegetais e animais que comprovadamente possam alcançar o ponto de serem disponibilizadas ao consumo mediante a utilização de técnicas de cultivo e de criação, em comparação com aquelas tradicionais, que se mostrem menos agressivas em relação ao meio ambiente, na medida em que se acomodem a uma utilização reduzida de defensivos agrícolas, de água ou que não exijam o uso de grandes extensões de terras aráveis, por exemplo.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  <w:r w:rsidRPr="00CC39E9">
        <w:rPr>
          <w:sz w:val="24"/>
          <w:szCs w:val="24"/>
        </w:rPr>
        <w:t xml:space="preserve">A </w:t>
      </w:r>
      <w:r w:rsidRPr="00DF7238">
        <w:rPr>
          <w:b/>
          <w:color w:val="76923C" w:themeColor="accent3" w:themeShade="BF"/>
          <w:sz w:val="24"/>
          <w:szCs w:val="24"/>
        </w:rPr>
        <w:t>invenção</w:t>
      </w:r>
      <w:r w:rsidRPr="00CC39E9">
        <w:rPr>
          <w:sz w:val="24"/>
          <w:szCs w:val="24"/>
        </w:rPr>
        <w:t xml:space="preserve">, portanto, é também objeto de estudo e de normatização no ambiente do Direito Agrário, que constrói figuras típicas geradoras de direitos e faculdades àquele que é reconhecido como o inventor, dentre as quais, inclusive, aquela que lhe garante a prerrogativa de manter secreta a sua criação.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</w:p>
    <w:p w:rsidR="00614C79" w:rsidRPr="00DF7238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color w:val="76923C" w:themeColor="accent3" w:themeShade="BF"/>
          <w:sz w:val="24"/>
          <w:szCs w:val="24"/>
          <w:u w:val="single"/>
        </w:rPr>
      </w:pPr>
      <w:r w:rsidRPr="00DF7238">
        <w:rPr>
          <w:b/>
          <w:color w:val="76923C" w:themeColor="accent3" w:themeShade="BF"/>
          <w:sz w:val="24"/>
          <w:szCs w:val="24"/>
          <w:u w:val="single"/>
        </w:rPr>
        <w:t>A evolução históri</w:t>
      </w:r>
      <w:r w:rsidR="00D7295B">
        <w:rPr>
          <w:b/>
          <w:color w:val="76923C" w:themeColor="accent3" w:themeShade="BF"/>
          <w:sz w:val="24"/>
          <w:szCs w:val="24"/>
          <w:u w:val="single"/>
        </w:rPr>
        <w:t>c</w:t>
      </w:r>
      <w:r w:rsidRPr="00DF7238">
        <w:rPr>
          <w:b/>
          <w:color w:val="76923C" w:themeColor="accent3" w:themeShade="BF"/>
          <w:sz w:val="24"/>
          <w:szCs w:val="24"/>
          <w:u w:val="single"/>
        </w:rPr>
        <w:t xml:space="preserve">a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b/>
          <w:sz w:val="24"/>
          <w:szCs w:val="24"/>
          <w:u w:val="single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sz w:val="24"/>
          <w:szCs w:val="24"/>
        </w:rPr>
        <w:t>- A</w:t>
      </w:r>
      <w:r w:rsidRPr="00CC39E9">
        <w:rPr>
          <w:rFonts w:eastAsia="Calibri"/>
          <w:sz w:val="24"/>
          <w:szCs w:val="24"/>
        </w:rPr>
        <w:t xml:space="preserve">no 1400 na República de Veneza: edição formal de uma primeira lei que regulava a concessão de monopólios de exploração, pelo prazo de dez anos, a todo inventor de um </w:t>
      </w:r>
      <w:r w:rsidRPr="00CC39E9">
        <w:rPr>
          <w:rFonts w:eastAsia="Calibri"/>
          <w:i/>
          <w:sz w:val="24"/>
          <w:szCs w:val="24"/>
        </w:rPr>
        <w:t>nuovo ed ingegnoso artifício</w:t>
      </w:r>
      <w:r w:rsidRPr="00CC39E9">
        <w:rPr>
          <w:rFonts w:eastAsia="Calibri"/>
          <w:sz w:val="24"/>
          <w:szCs w:val="24"/>
        </w:rPr>
        <w:t xml:space="preserve">.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Ano 1614 na Inglaterra no chamado </w:t>
      </w:r>
      <w:r w:rsidRPr="00CC39E9">
        <w:rPr>
          <w:rFonts w:eastAsia="Calibri"/>
          <w:i/>
          <w:sz w:val="24"/>
          <w:szCs w:val="24"/>
        </w:rPr>
        <w:t>Statute of Monopolies</w:t>
      </w:r>
      <w:r w:rsidRPr="00CC39E9">
        <w:rPr>
          <w:rFonts w:eastAsia="Calibri"/>
          <w:sz w:val="24"/>
          <w:szCs w:val="24"/>
        </w:rPr>
        <w:t xml:space="preserve"> e em 1641 nos Estados Unidos da América.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Especificamente sobre patentes: o </w:t>
      </w:r>
      <w:r w:rsidRPr="00CC39E9">
        <w:rPr>
          <w:rFonts w:eastAsia="Calibri"/>
          <w:i/>
          <w:sz w:val="24"/>
          <w:szCs w:val="24"/>
        </w:rPr>
        <w:t xml:space="preserve">Patent Act </w:t>
      </w:r>
      <w:r w:rsidRPr="00CC39E9">
        <w:rPr>
          <w:rFonts w:eastAsia="Calibri"/>
          <w:sz w:val="24"/>
          <w:szCs w:val="24"/>
        </w:rPr>
        <w:t xml:space="preserve">norte-americano de 1790, seguido pela regulamentação ocorrida na França em 1791 e pela lei alemã de 1877.  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Nos Estados Unidos da América: 1890, a partir do interesse dos agricultores </w:t>
      </w:r>
      <w:r w:rsidR="001B3A6A">
        <w:rPr>
          <w:rFonts w:eastAsia="Calibri"/>
          <w:sz w:val="24"/>
          <w:szCs w:val="24"/>
        </w:rPr>
        <w:t>d</w:t>
      </w:r>
      <w:r w:rsidRPr="00CC39E9">
        <w:rPr>
          <w:rFonts w:eastAsia="Calibri"/>
          <w:sz w:val="24"/>
          <w:szCs w:val="24"/>
        </w:rPr>
        <w:t xml:space="preserve">e proteger novas espécies de frutas por eles inventadas mediante o uso de técnicas tradicionais de cultivo, o </w:t>
      </w:r>
      <w:r w:rsidRPr="00CC39E9">
        <w:rPr>
          <w:rFonts w:eastAsia="Calibri"/>
          <w:i/>
          <w:sz w:val="24"/>
          <w:szCs w:val="24"/>
        </w:rPr>
        <w:t>Patent Office</w:t>
      </w:r>
      <w:r w:rsidRPr="00CC39E9">
        <w:rPr>
          <w:rFonts w:eastAsia="Calibri"/>
          <w:sz w:val="24"/>
          <w:szCs w:val="24"/>
        </w:rPr>
        <w:t xml:space="preserve"> passou a concordar com a outorga de uma </w:t>
      </w:r>
      <w:r w:rsidRPr="00CC39E9">
        <w:rPr>
          <w:rFonts w:eastAsia="Calibri"/>
          <w:i/>
          <w:sz w:val="24"/>
          <w:szCs w:val="24"/>
        </w:rPr>
        <w:t>patente</w:t>
      </w:r>
      <w:r w:rsidRPr="00CC39E9">
        <w:rPr>
          <w:rFonts w:eastAsia="Calibri"/>
          <w:sz w:val="24"/>
          <w:szCs w:val="24"/>
        </w:rPr>
        <w:t xml:space="preserve"> para suas plantas, valendo-se, pois, dos mesmos critérios utilizados para expedição de patentes de inventos em geral.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Ano de 1980 - </w:t>
      </w:r>
      <w:r w:rsidRPr="00CC39E9">
        <w:rPr>
          <w:sz w:val="24"/>
          <w:szCs w:val="24"/>
        </w:rPr>
        <w:t xml:space="preserve">a Corte Suprema norte-americana decidiu reconhecer o direito de um cientista de patentear uma cepa particular de bactérias </w:t>
      </w:r>
      <w:r w:rsidRPr="00CC39E9">
        <w:rPr>
          <w:i/>
          <w:sz w:val="24"/>
          <w:szCs w:val="24"/>
        </w:rPr>
        <w:t>Pseudomonas</w:t>
      </w:r>
      <w:r w:rsidRPr="00CC39E9">
        <w:rPr>
          <w:sz w:val="24"/>
          <w:szCs w:val="24"/>
        </w:rPr>
        <w:t>, para auxiliar nos trabalhos de despoluição das águas marítimas em situações de vazamento de petróleo. Considerou-se que a linha de demarcação entre o patenteável e o não-patenteável não estava colocada nos limites entre seres viventes e não-viventes.</w:t>
      </w:r>
    </w:p>
    <w:p w:rsidR="00614C79" w:rsidRPr="00CC39E9" w:rsidRDefault="00614C79" w:rsidP="003026D4">
      <w:pPr>
        <w:pStyle w:val="PargrafodaLista"/>
        <w:keepNext/>
        <w:widowControl w:val="0"/>
        <w:spacing w:before="120" w:after="120"/>
        <w:ind w:left="0"/>
        <w:jc w:val="both"/>
        <w:rPr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spacing w:before="120" w:after="120" w:line="360" w:lineRule="auto"/>
        <w:rPr>
          <w:b/>
          <w:color w:val="76923C" w:themeColor="accent3" w:themeShade="BF"/>
          <w:u w:val="single"/>
        </w:rPr>
      </w:pPr>
      <w:r w:rsidRPr="00DF7238">
        <w:rPr>
          <w:b/>
          <w:color w:val="76923C" w:themeColor="accent3" w:themeShade="BF"/>
          <w:u w:val="single"/>
        </w:rPr>
        <w:t>- As patentes vegetais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t xml:space="preserve">- Requisitos para a concessão de patente sobre uma invenção: </w:t>
      </w:r>
      <w:r w:rsidRPr="00CC39E9">
        <w:rPr>
          <w:rFonts w:eastAsia="Calibri"/>
          <w:b/>
          <w:i/>
          <w:sz w:val="24"/>
          <w:szCs w:val="24"/>
        </w:rPr>
        <w:t>aplicação industrial</w:t>
      </w:r>
      <w:r w:rsidRPr="00CC39E9">
        <w:rPr>
          <w:rFonts w:eastAsia="Calibri"/>
          <w:sz w:val="24"/>
          <w:szCs w:val="24"/>
        </w:rPr>
        <w:t xml:space="preserve">, </w:t>
      </w:r>
      <w:r w:rsidRPr="00CC39E9">
        <w:rPr>
          <w:rFonts w:eastAsia="Calibri"/>
          <w:b/>
          <w:i/>
          <w:sz w:val="24"/>
          <w:szCs w:val="24"/>
        </w:rPr>
        <w:t>novidade</w:t>
      </w:r>
      <w:r w:rsidRPr="00CC39E9">
        <w:rPr>
          <w:rFonts w:eastAsia="Calibri"/>
          <w:sz w:val="24"/>
          <w:szCs w:val="24"/>
        </w:rPr>
        <w:t xml:space="preserve">, e </w:t>
      </w:r>
      <w:r w:rsidRPr="00CC39E9">
        <w:rPr>
          <w:rFonts w:eastAsia="Calibri"/>
          <w:b/>
          <w:i/>
          <w:sz w:val="24"/>
          <w:szCs w:val="24"/>
        </w:rPr>
        <w:t>atividade inventiva</w:t>
      </w:r>
      <w:r w:rsidRPr="00CC39E9">
        <w:rPr>
          <w:rFonts w:eastAsia="Calibri"/>
          <w:sz w:val="24"/>
          <w:szCs w:val="24"/>
        </w:rPr>
        <w:t>.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Dependem, para que sejam exercidos e opostos perante terceiros, do expresso reconhecimento do </w:t>
      </w:r>
      <w:r w:rsidRPr="00CC39E9">
        <w:rPr>
          <w:rFonts w:eastAsia="Calibri"/>
          <w:sz w:val="24"/>
          <w:szCs w:val="24"/>
        </w:rPr>
        <w:lastRenderedPageBreak/>
        <w:t xml:space="preserve">Estado. </w:t>
      </w:r>
    </w:p>
    <w:p w:rsidR="00614C7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3026D4" w:rsidRDefault="003026D4" w:rsidP="003026D4">
      <w:pPr>
        <w:pStyle w:val="NormalWeb"/>
        <w:keepNext/>
        <w:widowControl w:val="0"/>
        <w:spacing w:before="0" w:beforeAutospacing="0" w:after="240" w:afterAutospacing="0" w:line="210" w:lineRule="atLeast"/>
        <w:jc w:val="both"/>
        <w:rPr>
          <w:rFonts w:ascii="Helvetica" w:hAnsi="Helvetica" w:cs="Helvetica"/>
          <w:color w:val="090909"/>
          <w:sz w:val="14"/>
          <w:szCs w:val="14"/>
        </w:rPr>
      </w:pPr>
      <w:r>
        <w:rPr>
          <w:rFonts w:ascii="Helvetica" w:hAnsi="Helvetica" w:cs="Helvetica"/>
          <w:color w:val="090909"/>
          <w:sz w:val="14"/>
          <w:szCs w:val="14"/>
        </w:rPr>
        <w:t xml:space="preserve">A patente 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tem caráter de revalidação e não de concessão de patente originária, porque vinculado ao primeiro depósito do invento no país de origem. Logo, aplica-se à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regime jurídico diferenciado daquele a que se sujeitam os inventos nacionais que optarem pelo regime geral de patentes, notadamente com as seguintes especificidades: i) no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Fonts w:ascii="Helvetica" w:hAnsi="Helvetica" w:cs="Helvetica"/>
          <w:color w:val="090909"/>
          <w:sz w:val="14"/>
          <w:szCs w:val="14"/>
        </w:rPr>
        <w:t>, não há exame técnico, no Brasil, relativo aos requisitos de patenteabilidade, aceitando-se, para tanto, o exame feito no país estrangeiro; ii) o prazo de vigência da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não é igual ao da patente convencional, uma vez que se toma por base aquele remanescente de proteção da patente estrangeira, desde que não ultrapasse 20 anos a partir da data do depósito (prazo previsto no art. 40, da Lei 9279/96), não havendo aplicação, todavia, do prazo mínimo de proteção de 10 anos contados a partir da concessão da patente; iii) a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não possui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iter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instrutório semelhante ao contemplado nos artigos 31 e 32 da Lei 9.279/96.</w:t>
      </w:r>
    </w:p>
    <w:p w:rsidR="003026D4" w:rsidRDefault="003026D4" w:rsidP="003026D4">
      <w:pPr>
        <w:pStyle w:val="NormalWeb"/>
        <w:keepNext/>
        <w:widowControl w:val="0"/>
        <w:spacing w:before="0" w:beforeAutospacing="0" w:after="240" w:afterAutospacing="0" w:line="210" w:lineRule="atLeast"/>
        <w:jc w:val="both"/>
        <w:rPr>
          <w:rFonts w:ascii="Helvetica" w:hAnsi="Helvetica" w:cs="Helvetica"/>
          <w:color w:val="090909"/>
          <w:sz w:val="14"/>
          <w:szCs w:val="14"/>
        </w:rPr>
      </w:pPr>
      <w:r>
        <w:rPr>
          <w:rFonts w:ascii="Helvetica" w:hAnsi="Helvetica" w:cs="Helvetica"/>
          <w:color w:val="090909"/>
          <w:sz w:val="14"/>
          <w:szCs w:val="14"/>
        </w:rPr>
        <w:t>No regime da patente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há inúmeras circunstâncias e consequências jurídicas que denotam inequivocamente a existência de dependência do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Style w:val="nfase"/>
          <w:rFonts w:ascii="Helvetica" w:hAnsi="Helvetica" w:cs="Helvetica"/>
          <w:color w:val="090909"/>
          <w:sz w:val="14"/>
          <w:szCs w:val="14"/>
        </w:rPr>
        <w:t>pipeline</w:t>
      </w:r>
      <w:r>
        <w:rPr>
          <w:rStyle w:val="apple-converted-space"/>
          <w:rFonts w:ascii="Helvetica" w:hAnsi="Helvetica" w:cs="Helvetica"/>
          <w:color w:val="090909"/>
          <w:sz w:val="14"/>
          <w:szCs w:val="14"/>
        </w:rPr>
        <w:t> </w:t>
      </w:r>
      <w:r>
        <w:rPr>
          <w:rFonts w:ascii="Helvetica" w:hAnsi="Helvetica" w:cs="Helvetica"/>
          <w:color w:val="090909"/>
          <w:sz w:val="14"/>
          <w:szCs w:val="14"/>
        </w:rPr>
        <w:t>em relação à patente estrangeira. Logo, não se pode pretender exigir para a revalidação os mesmos requisitos materiais da concessão originária.</w:t>
      </w:r>
    </w:p>
    <w:p w:rsidR="003026D4" w:rsidRPr="00CC39E9" w:rsidRDefault="003026D4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Problemas no Direito Agrário: temas da segurança alimentar e tutela da saúde do consumidor, da rotulagem dos produtos agrários, da proteção ao meio ambiente e da preservação das atividades e do patrimônio daqueles que continuam a realizar a agricultura e a pecuária sob métodos e técnicas tradicionais. </w:t>
      </w:r>
      <w:r w:rsidR="00C86628" w:rsidRPr="00CC39E9">
        <w:rPr>
          <w:rFonts w:eastAsia="Calibri"/>
          <w:sz w:val="24"/>
          <w:szCs w:val="24"/>
        </w:rPr>
        <w:t>Questões de Bioética e da especialidade de conceitos de natureza biológica.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CC39E9" w:rsidRDefault="00C86628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  <w:r w:rsidRPr="00CC39E9">
        <w:rPr>
          <w:rFonts w:eastAsia="Calibri"/>
          <w:sz w:val="24"/>
          <w:szCs w:val="24"/>
        </w:rPr>
        <w:t xml:space="preserve">- </w:t>
      </w:r>
      <w:r w:rsidR="00614C79" w:rsidRPr="00CC39E9">
        <w:rPr>
          <w:rFonts w:eastAsia="Calibri"/>
          <w:sz w:val="24"/>
          <w:szCs w:val="24"/>
        </w:rPr>
        <w:t>Co</w:t>
      </w:r>
      <w:r w:rsidRPr="00CC39E9">
        <w:rPr>
          <w:rFonts w:eastAsia="Calibri"/>
          <w:sz w:val="24"/>
          <w:szCs w:val="24"/>
        </w:rPr>
        <w:t>nvenções internacionais que tratam do tema:</w:t>
      </w:r>
      <w:r w:rsidR="00614C79" w:rsidRPr="00CC39E9">
        <w:rPr>
          <w:rFonts w:eastAsia="Calibri"/>
          <w:sz w:val="24"/>
          <w:szCs w:val="24"/>
        </w:rPr>
        <w:t xml:space="preserve"> </w:t>
      </w:r>
      <w:r w:rsidR="00614C79" w:rsidRPr="00DF7238">
        <w:rPr>
          <w:rFonts w:eastAsia="Calibri"/>
          <w:i/>
          <w:sz w:val="24"/>
          <w:szCs w:val="24"/>
        </w:rPr>
        <w:t>Union pour la Protection des Obtensions Végétales</w:t>
      </w:r>
      <w:r w:rsidR="00614C79" w:rsidRPr="00CC39E9">
        <w:rPr>
          <w:rFonts w:eastAsia="Calibri"/>
          <w:i/>
          <w:sz w:val="24"/>
          <w:szCs w:val="24"/>
        </w:rPr>
        <w:t xml:space="preserve"> </w:t>
      </w:r>
      <w:r w:rsidR="00614C79" w:rsidRPr="00CC39E9">
        <w:rPr>
          <w:rFonts w:eastAsia="Calibri"/>
          <w:sz w:val="24"/>
          <w:szCs w:val="24"/>
        </w:rPr>
        <w:t>(a Convenção UPOV</w:t>
      </w:r>
      <w:r w:rsidR="00614C79" w:rsidRPr="00CC39E9">
        <w:rPr>
          <w:rStyle w:val="Refdenotaderodap"/>
          <w:rFonts w:eastAsia="Calibri"/>
          <w:sz w:val="24"/>
          <w:szCs w:val="24"/>
        </w:rPr>
        <w:footnoteReference w:id="1"/>
      </w:r>
      <w:r w:rsidR="00614C79" w:rsidRPr="00CC39E9">
        <w:rPr>
          <w:rFonts w:eastAsia="Calibri"/>
          <w:sz w:val="24"/>
          <w:szCs w:val="24"/>
        </w:rPr>
        <w:t>).</w:t>
      </w:r>
      <w:r w:rsidRPr="00CC39E9">
        <w:rPr>
          <w:rFonts w:eastAsia="Calibri"/>
          <w:sz w:val="24"/>
          <w:szCs w:val="24"/>
        </w:rPr>
        <w:t xml:space="preserve"> </w:t>
      </w:r>
      <w:r w:rsidR="00614C79" w:rsidRPr="00CC39E9">
        <w:rPr>
          <w:rFonts w:eastAsia="Calibri"/>
          <w:i/>
          <w:sz w:val="24"/>
          <w:szCs w:val="24"/>
        </w:rPr>
        <w:t xml:space="preserve">Agreement on Trade-Related Aspects of Intellectual Property Rights – Anexo 1C </w:t>
      </w:r>
      <w:r w:rsidR="00614C79" w:rsidRPr="00CC39E9">
        <w:rPr>
          <w:rFonts w:eastAsia="Calibri"/>
          <w:sz w:val="24"/>
          <w:szCs w:val="24"/>
        </w:rPr>
        <w:t>(o acordo TRIPs), de 15 de Abril de 1994 e em vigor desde 1º de Janeiro de 1995</w:t>
      </w:r>
      <w:r w:rsidR="00614C79" w:rsidRPr="00CC39E9">
        <w:rPr>
          <w:rStyle w:val="Refdenotaderodap"/>
          <w:rFonts w:eastAsia="Calibri"/>
          <w:sz w:val="24"/>
          <w:szCs w:val="24"/>
        </w:rPr>
        <w:footnoteReference w:id="2"/>
      </w:r>
      <w:r w:rsidR="00614C79" w:rsidRPr="00CC39E9">
        <w:rPr>
          <w:rFonts w:eastAsia="Calibri"/>
          <w:sz w:val="24"/>
          <w:szCs w:val="24"/>
        </w:rPr>
        <w:t>.</w:t>
      </w:r>
    </w:p>
    <w:p w:rsidR="00614C79" w:rsidRPr="00CC39E9" w:rsidRDefault="00614C79" w:rsidP="003026D4">
      <w:pPr>
        <w:keepNext/>
        <w:widowControl w:val="0"/>
        <w:spacing w:before="120" w:after="120"/>
        <w:rPr>
          <w:rFonts w:eastAsia="Calibri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spacing w:before="120" w:after="120"/>
        <w:rPr>
          <w:b/>
          <w:color w:val="76923C" w:themeColor="accent3" w:themeShade="BF"/>
          <w:u w:val="single"/>
        </w:rPr>
      </w:pPr>
      <w:r w:rsidRPr="00DF7238">
        <w:rPr>
          <w:b/>
          <w:color w:val="76923C" w:themeColor="accent3" w:themeShade="BF"/>
          <w:u w:val="single"/>
        </w:rPr>
        <w:t xml:space="preserve">- As </w:t>
      </w:r>
      <w:r w:rsidRPr="00DF7238">
        <w:rPr>
          <w:b/>
          <w:i/>
          <w:color w:val="76923C" w:themeColor="accent3" w:themeShade="BF"/>
          <w:u w:val="single"/>
        </w:rPr>
        <w:t xml:space="preserve">Cultivares 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3026D4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3026D4">
        <w:rPr>
          <w:b/>
          <w:color w:val="FF0000"/>
          <w:sz w:val="24"/>
          <w:szCs w:val="24"/>
        </w:rPr>
        <w:t>A Lei de Cultivares – nº 9.456, de 25/4/1997</w:t>
      </w:r>
    </w:p>
    <w:p w:rsidR="00614C79" w:rsidRPr="00CC39E9" w:rsidRDefault="00614C79" w:rsidP="003026D4">
      <w:pPr>
        <w:keepNext/>
        <w:widowControl w:val="0"/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Sua fonte é o tratado da UPOV, ao qual o Brasil estava em fase de adesão. A fonte remota é o Código da Propriedade Industrial de 1945, o Decreto nº 7903.</w:t>
      </w:r>
    </w:p>
    <w:p w:rsidR="00614C79" w:rsidRPr="00CC39E9" w:rsidRDefault="00614C79" w:rsidP="003026D4">
      <w:pPr>
        <w:keepNext/>
        <w:widowControl w:val="0"/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i/>
          <w:sz w:val="24"/>
          <w:szCs w:val="24"/>
        </w:rPr>
        <w:t xml:space="preserve"> (sujeito de direito – art. 3º, I). </w:t>
      </w:r>
      <w:r w:rsidRPr="00CC39E9">
        <w:rPr>
          <w:sz w:val="24"/>
          <w:szCs w:val="24"/>
        </w:rPr>
        <w:t xml:space="preserve">O melhorista é o autor da </w:t>
      </w:r>
      <w:r w:rsidRPr="001B3A6A">
        <w:rPr>
          <w:i/>
          <w:sz w:val="24"/>
          <w:szCs w:val="24"/>
        </w:rPr>
        <w:t>cultivar</w:t>
      </w:r>
      <w:r w:rsidRPr="00CC39E9">
        <w:rPr>
          <w:sz w:val="24"/>
          <w:szCs w:val="24"/>
        </w:rPr>
        <w:t>. Não será, necessariamente, o titular do direito.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- Surge, no art. 5º, a figura do “obtentor” (...). Essa pessoa física ou jurídica que tiver obtido cultivar será o titular do direito.</w:t>
      </w:r>
    </w:p>
    <w:p w:rsidR="00614C79" w:rsidRPr="00CC39E9" w:rsidRDefault="00614C79" w:rsidP="003026D4">
      <w:pPr>
        <w:keepNext/>
        <w:widowControl w:val="0"/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Do objeto do Direito. Aparentemente, o objeto do direito é uma cultivar, “considerado bem móvel para todos os efeitos legais” (art. 2º). 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Conforme o inciso IV do art. 3º, </w:t>
      </w:r>
      <w:r w:rsidRPr="00CC39E9">
        <w:rPr>
          <w:b/>
          <w:sz w:val="24"/>
          <w:szCs w:val="24"/>
          <w:u w:val="single"/>
        </w:rPr>
        <w:t>cultivar</w:t>
      </w:r>
      <w:r w:rsidRPr="00CC39E9">
        <w:rPr>
          <w:sz w:val="24"/>
          <w:szCs w:val="24"/>
        </w:rPr>
        <w:t xml:space="preserve"> é a “variedade de qualquer gênero ou espécie vegetal superior” (se se tratar de microrganismo), a proteção decorre da lei da propriedade industrial; os animais superiores não encontram tutela nas leis de propriedade intelectual). Deve ser distinta de outras cultivares conhecidas, ter denominação própria, ser homogênea e estável, passível de uso complexo </w:t>
      </w:r>
      <w:r w:rsidRPr="00CC39E9">
        <w:rPr>
          <w:sz w:val="24"/>
          <w:szCs w:val="24"/>
        </w:rPr>
        <w:lastRenderedPageBreak/>
        <w:t>agroflorestal e descrita em publicação especializada disponível e acessível ao público.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Na verdade, o direito exclusivo não é conferido à cultivar, mas à semente (...), ou ao material propagativo.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O art. 27 (matéria patenteável), parágrafo 3, b, do TRIPs, permite que os membros considerem como não patenteáveis: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- plantas e animais, exceto microrganismos;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 xml:space="preserve">- processos essencialmente biológicos para a produção de plantas ou animais, excetuando-se os processos não biológicos e microbiológicos. 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CC39E9" w:rsidRDefault="00CC39E9" w:rsidP="003026D4">
      <w:pPr>
        <w:keepNext/>
        <w:widowControl w:val="0"/>
        <w:rPr>
          <w:sz w:val="24"/>
          <w:szCs w:val="24"/>
        </w:rPr>
      </w:pPr>
      <w:r w:rsidRPr="00CC39E9">
        <w:rPr>
          <w:sz w:val="24"/>
          <w:szCs w:val="24"/>
        </w:rPr>
        <w:t>-</w:t>
      </w:r>
      <w:r w:rsidR="00614C79" w:rsidRPr="00CC39E9">
        <w:rPr>
          <w:sz w:val="24"/>
          <w:szCs w:val="24"/>
        </w:rPr>
        <w:t xml:space="preserve"> </w:t>
      </w:r>
      <w:r w:rsidRPr="000E3A47">
        <w:rPr>
          <w:b/>
          <w:color w:val="4F6228" w:themeColor="accent3" w:themeShade="80"/>
          <w:sz w:val="24"/>
          <w:szCs w:val="24"/>
          <w:u w:val="single"/>
        </w:rPr>
        <w:t>N</w:t>
      </w:r>
      <w:r w:rsidR="00614C79" w:rsidRPr="000E3A47">
        <w:rPr>
          <w:b/>
          <w:color w:val="4F6228" w:themeColor="accent3" w:themeShade="80"/>
          <w:sz w:val="24"/>
          <w:szCs w:val="24"/>
          <w:u w:val="single"/>
        </w:rPr>
        <w:t>ão são patenteáveis</w:t>
      </w:r>
      <w:r w:rsidR="00614C79" w:rsidRPr="00CC39E9">
        <w:rPr>
          <w:sz w:val="24"/>
          <w:szCs w:val="24"/>
        </w:rPr>
        <w:t>, nomeadamente:</w:t>
      </w:r>
    </w:p>
    <w:p w:rsidR="00614C79" w:rsidRPr="00CC39E9" w:rsidRDefault="00614C79" w:rsidP="003026D4">
      <w:pPr>
        <w:keepNext/>
        <w:widowControl w:val="0"/>
        <w:rPr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a) os processos de clonagem de seres humanos;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b) os processos de modificação da identidade genética germinal (isto é, reprodutiva) do ser humano;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c) as utilizações de embriões humanos para fins industriais ou comerciais;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d) os processos de modificação de identidade genética que possam causar sofrimentos aos animais sem utilidade médica substancial para o homem ou para o animal, bem como os animais obtidos por esses processos;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e) o corpo humano, nos vários estágios de sua constituição e desenvolvimento, bem como a simples descoberta de um dos seus elementos, incluindo a seqüência ou a seqüência parcial de um gene;</w:t>
      </w: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</w:p>
    <w:p w:rsidR="00614C79" w:rsidRPr="00DF7238" w:rsidRDefault="00614C79" w:rsidP="003026D4">
      <w:pPr>
        <w:keepNext/>
        <w:widowControl w:val="0"/>
        <w:rPr>
          <w:b/>
          <w:color w:val="FF0000"/>
          <w:sz w:val="24"/>
          <w:szCs w:val="24"/>
        </w:rPr>
      </w:pPr>
      <w:r w:rsidRPr="00DF7238">
        <w:rPr>
          <w:b/>
          <w:color w:val="FF0000"/>
          <w:sz w:val="24"/>
          <w:szCs w:val="24"/>
        </w:rPr>
        <w:t>f) as variedades vegetais ou as raças animais, assim como os processos essencialmente biológicos de obtenção de vegetais ou animais. Esta limitação visa garantir a biodiversidade e o ecossistema em geral.</w:t>
      </w:r>
    </w:p>
    <w:p w:rsidR="00FF52B0" w:rsidRDefault="00730776" w:rsidP="003026D4">
      <w:pPr>
        <w:keepNext/>
        <w:widowControl w:val="0"/>
        <w:rPr>
          <w:color w:val="FF0000"/>
        </w:rPr>
      </w:pPr>
    </w:p>
    <w:p w:rsidR="003026D4" w:rsidRDefault="003026D4" w:rsidP="003026D4">
      <w:pPr>
        <w:keepNext/>
        <w:widowControl w:val="0"/>
        <w:rPr>
          <w:color w:val="FF0000"/>
        </w:rPr>
      </w:pPr>
    </w:p>
    <w:p w:rsidR="003026D4" w:rsidRPr="00DF7238" w:rsidRDefault="003026D4" w:rsidP="003026D4">
      <w:pPr>
        <w:keepNext/>
        <w:widowControl w:val="0"/>
        <w:rPr>
          <w:color w:val="FF0000"/>
        </w:rPr>
      </w:pPr>
    </w:p>
    <w:sectPr w:rsidR="003026D4" w:rsidRPr="00DF7238" w:rsidSect="007C6268">
      <w:headerReference w:type="default" r:id="rId6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76" w:rsidRDefault="00730776" w:rsidP="00614C79">
      <w:r>
        <w:separator/>
      </w:r>
    </w:p>
  </w:endnote>
  <w:endnote w:type="continuationSeparator" w:id="0">
    <w:p w:rsidR="00730776" w:rsidRDefault="00730776" w:rsidP="006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76" w:rsidRDefault="00730776" w:rsidP="00614C79">
      <w:r>
        <w:separator/>
      </w:r>
    </w:p>
  </w:footnote>
  <w:footnote w:type="continuationSeparator" w:id="0">
    <w:p w:rsidR="00730776" w:rsidRDefault="00730776" w:rsidP="00614C79">
      <w:r>
        <w:continuationSeparator/>
      </w:r>
    </w:p>
  </w:footnote>
  <w:footnote w:id="1">
    <w:p w:rsidR="00614C79" w:rsidRPr="00231292" w:rsidRDefault="00614C79" w:rsidP="00614C79">
      <w:pPr>
        <w:pStyle w:val="Textodenotaderodap"/>
        <w:keepNext/>
        <w:widowControl w:val="0"/>
      </w:pPr>
      <w:r>
        <w:rPr>
          <w:rStyle w:val="Refdenotaderodap"/>
        </w:rPr>
        <w:footnoteRef/>
      </w:r>
      <w:r>
        <w:t>- De 2 de Dezembro de 1961, revisada em 10 de Novembro de 1972, em 23 de Outubro de 1978 e em 19 de Março de 1991.</w:t>
      </w:r>
      <w:r w:rsidRPr="00F76693">
        <w:t xml:space="preserve"> </w:t>
      </w:r>
      <w:hyperlink r:id="rId1" w:history="1">
        <w:r w:rsidRPr="00295ADB">
          <w:rPr>
            <w:rStyle w:val="Hyperlink"/>
          </w:rPr>
          <w:t>http://www.upov.int/export/sites/upov/en/publications/conventions/1991/pdf/act1991.pdf</w:t>
        </w:r>
      </w:hyperlink>
      <w:r>
        <w:t>.</w:t>
      </w:r>
    </w:p>
  </w:footnote>
  <w:footnote w:id="2">
    <w:p w:rsidR="00614C79" w:rsidRPr="00DF0B29" w:rsidRDefault="00614C79" w:rsidP="00614C79">
      <w:pPr>
        <w:pStyle w:val="Textodenotaderodap"/>
        <w:keepNext/>
        <w:widowControl w:val="0"/>
      </w:pPr>
      <w:r>
        <w:rPr>
          <w:rStyle w:val="Refdenotaderodap"/>
        </w:rPr>
        <w:footnoteRef/>
      </w:r>
      <w:r>
        <w:t xml:space="preserve">- </w:t>
      </w:r>
      <w:hyperlink r:id="rId2" w:history="1">
        <w:r w:rsidRPr="00295ADB">
          <w:rPr>
            <w:rStyle w:val="Hyperlink"/>
          </w:rPr>
          <w:t>http://www.wto.org/english/docs_e/legal_e/27-trips.pdf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FC" w:rsidRPr="00BD24DF" w:rsidRDefault="00844CFC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844CFC" w:rsidRPr="00BD24DF" w:rsidRDefault="00844CFC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012C81" w:rsidRDefault="007307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9"/>
    <w:rsid w:val="000164DE"/>
    <w:rsid w:val="000E3A47"/>
    <w:rsid w:val="000E6523"/>
    <w:rsid w:val="000E6675"/>
    <w:rsid w:val="00122359"/>
    <w:rsid w:val="001365B6"/>
    <w:rsid w:val="001B3A6A"/>
    <w:rsid w:val="001F0320"/>
    <w:rsid w:val="00227D62"/>
    <w:rsid w:val="00237AD2"/>
    <w:rsid w:val="002C47D5"/>
    <w:rsid w:val="002D0AA8"/>
    <w:rsid w:val="002F0F5C"/>
    <w:rsid w:val="002F662F"/>
    <w:rsid w:val="003026D4"/>
    <w:rsid w:val="00364CC6"/>
    <w:rsid w:val="00397215"/>
    <w:rsid w:val="003C016B"/>
    <w:rsid w:val="003C231C"/>
    <w:rsid w:val="003D4C3C"/>
    <w:rsid w:val="003E792B"/>
    <w:rsid w:val="00446C3A"/>
    <w:rsid w:val="00451D78"/>
    <w:rsid w:val="0046589D"/>
    <w:rsid w:val="00484233"/>
    <w:rsid w:val="004976C4"/>
    <w:rsid w:val="004E5215"/>
    <w:rsid w:val="005131CB"/>
    <w:rsid w:val="005324FD"/>
    <w:rsid w:val="00540BA0"/>
    <w:rsid w:val="005513CE"/>
    <w:rsid w:val="005733A9"/>
    <w:rsid w:val="005B0D93"/>
    <w:rsid w:val="00614C79"/>
    <w:rsid w:val="00704707"/>
    <w:rsid w:val="00730776"/>
    <w:rsid w:val="00737FBC"/>
    <w:rsid w:val="00754B95"/>
    <w:rsid w:val="007B50E3"/>
    <w:rsid w:val="007C24F6"/>
    <w:rsid w:val="007C6268"/>
    <w:rsid w:val="007D114A"/>
    <w:rsid w:val="007D4259"/>
    <w:rsid w:val="007E109B"/>
    <w:rsid w:val="007F5410"/>
    <w:rsid w:val="00811C20"/>
    <w:rsid w:val="00844CFC"/>
    <w:rsid w:val="00872525"/>
    <w:rsid w:val="00875C6B"/>
    <w:rsid w:val="00893C35"/>
    <w:rsid w:val="00976908"/>
    <w:rsid w:val="009A4C03"/>
    <w:rsid w:val="009B4E05"/>
    <w:rsid w:val="009C25F9"/>
    <w:rsid w:val="00A52197"/>
    <w:rsid w:val="00AD28E9"/>
    <w:rsid w:val="00B66DC6"/>
    <w:rsid w:val="00B9331B"/>
    <w:rsid w:val="00B93472"/>
    <w:rsid w:val="00C06A7A"/>
    <w:rsid w:val="00C12052"/>
    <w:rsid w:val="00C7491E"/>
    <w:rsid w:val="00C86628"/>
    <w:rsid w:val="00CC39E9"/>
    <w:rsid w:val="00D17E37"/>
    <w:rsid w:val="00D7295B"/>
    <w:rsid w:val="00D829F3"/>
    <w:rsid w:val="00DC3EFB"/>
    <w:rsid w:val="00DD0244"/>
    <w:rsid w:val="00DF17E5"/>
    <w:rsid w:val="00DF6C17"/>
    <w:rsid w:val="00DF7238"/>
    <w:rsid w:val="00E64DA6"/>
    <w:rsid w:val="00EB3016"/>
    <w:rsid w:val="00F70C20"/>
    <w:rsid w:val="00F94C88"/>
    <w:rsid w:val="00FB2C28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6655-D51F-4F0E-89F9-8DB4A39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79"/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C7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C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C7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14C7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4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C79"/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614C79"/>
    <w:pPr>
      <w:ind w:left="720"/>
      <w:contextualSpacing/>
      <w:jc w:val="left"/>
    </w:pPr>
    <w:rPr>
      <w:rFonts w:eastAsia="Times New Roman"/>
      <w:szCs w:val="2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44C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4CFC"/>
    <w:rPr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3026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026D4"/>
    <w:rPr>
      <w:i/>
      <w:iCs/>
    </w:rPr>
  </w:style>
  <w:style w:type="character" w:customStyle="1" w:styleId="apple-converted-space">
    <w:name w:val="apple-converted-space"/>
    <w:basedOn w:val="Fontepargpadro"/>
    <w:rsid w:val="003026D4"/>
  </w:style>
  <w:style w:type="paragraph" w:styleId="Textodebalo">
    <w:name w:val="Balloon Text"/>
    <w:basedOn w:val="Normal"/>
    <w:link w:val="TextodebaloChar"/>
    <w:uiPriority w:val="99"/>
    <w:semiHidden/>
    <w:unhideWhenUsed/>
    <w:rsid w:val="007C6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to.org/english/docs_e/legal_e/27-trips.pdf" TargetMode="External"/><Relationship Id="rId1" Type="http://schemas.openxmlformats.org/officeDocument/2006/relationships/hyperlink" Target="http://www.upov.int/export/sites/upov/en/publications/conventions/1991/pdf/act199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2023-04-25T19:01:00Z</cp:lastPrinted>
  <dcterms:created xsi:type="dcterms:W3CDTF">2023-04-25T19:02:00Z</dcterms:created>
  <dcterms:modified xsi:type="dcterms:W3CDTF">2023-04-25T19:02:00Z</dcterms:modified>
</cp:coreProperties>
</file>