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31D8" w14:textId="77777777" w:rsidR="00B1549C" w:rsidRPr="00856E87" w:rsidRDefault="00B1549C" w:rsidP="002F2398">
      <w:pPr>
        <w:pStyle w:val="Ttulo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sz w:val="22"/>
          <w:szCs w:val="22"/>
        </w:rPr>
        <w:t>Faculdade de Direito da Universidade de São Paulo</w:t>
      </w:r>
    </w:p>
    <w:p w14:paraId="324E7B77" w14:textId="6B7E0C65" w:rsidR="00681D42" w:rsidRPr="00856E87" w:rsidRDefault="00B1549C" w:rsidP="002F239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56E87">
        <w:rPr>
          <w:rStyle w:val="txtarial10ptblack"/>
          <w:rFonts w:asciiTheme="majorHAnsi" w:hAnsiTheme="majorHAnsi" w:cstheme="majorHAnsi"/>
          <w:b/>
          <w:bCs/>
          <w:color w:val="000000"/>
          <w:sz w:val="22"/>
          <w:szCs w:val="22"/>
        </w:rPr>
        <w:t>DPP 0</w:t>
      </w:r>
      <w:r w:rsidR="00681D42" w:rsidRPr="00856E87">
        <w:rPr>
          <w:rStyle w:val="txtarial10ptblack"/>
          <w:rFonts w:asciiTheme="majorHAnsi" w:hAnsiTheme="majorHAnsi" w:cstheme="majorHAnsi"/>
          <w:b/>
          <w:bCs/>
          <w:color w:val="000000"/>
          <w:sz w:val="22"/>
          <w:szCs w:val="22"/>
        </w:rPr>
        <w:t>5</w:t>
      </w:r>
      <w:r w:rsidRPr="00856E87">
        <w:rPr>
          <w:rStyle w:val="txtarial10ptblack"/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="00681D42" w:rsidRPr="00856E87">
        <w:rPr>
          <w:rStyle w:val="txtarial10ptblack"/>
          <w:rFonts w:asciiTheme="majorHAnsi" w:hAnsiTheme="majorHAnsi" w:cstheme="majorHAnsi"/>
          <w:b/>
          <w:bCs/>
          <w:color w:val="000000"/>
          <w:sz w:val="22"/>
          <w:szCs w:val="22"/>
        </w:rPr>
        <w:t>9</w:t>
      </w:r>
      <w:r w:rsidRPr="00856E87">
        <w:rPr>
          <w:rFonts w:asciiTheme="majorHAnsi" w:hAnsiTheme="majorHAnsi" w:cstheme="majorHAnsi"/>
          <w:b/>
          <w:sz w:val="22"/>
          <w:szCs w:val="22"/>
        </w:rPr>
        <w:t xml:space="preserve"> - Direito Processual Penal </w:t>
      </w:r>
      <w:r w:rsidR="00681D42" w:rsidRPr="00856E87">
        <w:rPr>
          <w:rFonts w:asciiTheme="majorHAnsi" w:hAnsiTheme="majorHAnsi" w:cstheme="majorHAnsi"/>
          <w:b/>
          <w:sz w:val="22"/>
          <w:szCs w:val="22"/>
        </w:rPr>
        <w:t xml:space="preserve">V </w:t>
      </w:r>
      <w:r w:rsidRPr="00856E87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681D42" w:rsidRPr="00856E87">
        <w:rPr>
          <w:rFonts w:asciiTheme="majorHAnsi" w:hAnsiTheme="majorHAnsi" w:cstheme="majorHAnsi"/>
          <w:b/>
          <w:sz w:val="22"/>
          <w:szCs w:val="22"/>
        </w:rPr>
        <w:t xml:space="preserve">Teoria e </w:t>
      </w:r>
      <w:r w:rsidRPr="00856E87">
        <w:rPr>
          <w:rFonts w:asciiTheme="majorHAnsi" w:hAnsiTheme="majorHAnsi" w:cstheme="majorHAnsi"/>
          <w:b/>
          <w:sz w:val="22"/>
          <w:szCs w:val="22"/>
        </w:rPr>
        <w:t>Prática dos Recursos</w:t>
      </w:r>
      <w:r w:rsidR="00681D42" w:rsidRPr="00856E87">
        <w:rPr>
          <w:rFonts w:asciiTheme="majorHAnsi" w:hAnsiTheme="majorHAnsi" w:cstheme="majorHAnsi"/>
          <w:b/>
          <w:sz w:val="22"/>
          <w:szCs w:val="22"/>
        </w:rPr>
        <w:t xml:space="preserve"> Penais</w:t>
      </w:r>
      <w:r w:rsidRPr="00856E8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4C59671" w14:textId="77777777" w:rsidR="00681D42" w:rsidRPr="00856E87" w:rsidRDefault="00681D42" w:rsidP="002F2398">
      <w:pPr>
        <w:rPr>
          <w:rFonts w:asciiTheme="majorHAnsi" w:hAnsiTheme="majorHAnsi" w:cstheme="majorHAnsi"/>
          <w:sz w:val="22"/>
          <w:szCs w:val="22"/>
        </w:rPr>
      </w:pPr>
    </w:p>
    <w:p w14:paraId="408ED9DF" w14:textId="377C6FA3" w:rsidR="00B1549C" w:rsidRPr="00856E87" w:rsidRDefault="00B1549C" w:rsidP="002F2398">
      <w:pPr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sz w:val="22"/>
          <w:szCs w:val="22"/>
        </w:rPr>
        <w:t xml:space="preserve">Professor: </w:t>
      </w:r>
      <w:r w:rsidRPr="00856E87">
        <w:rPr>
          <w:rFonts w:asciiTheme="majorHAnsi" w:hAnsiTheme="majorHAnsi" w:cstheme="majorHAnsi"/>
          <w:i/>
          <w:iCs/>
          <w:sz w:val="22"/>
          <w:szCs w:val="22"/>
        </w:rPr>
        <w:t>Gustavo Badaró</w:t>
      </w:r>
    </w:p>
    <w:p w14:paraId="724639A6" w14:textId="77777777" w:rsidR="002743C6" w:rsidRPr="00856E87" w:rsidRDefault="002743C6" w:rsidP="002F2398">
      <w:pPr>
        <w:rPr>
          <w:rFonts w:asciiTheme="majorHAnsi" w:hAnsiTheme="majorHAnsi" w:cstheme="majorHAnsi"/>
          <w:sz w:val="22"/>
          <w:szCs w:val="22"/>
        </w:rPr>
      </w:pPr>
    </w:p>
    <w:p w14:paraId="06577F60" w14:textId="5DAE5D8D" w:rsidR="00B1549C" w:rsidRPr="00856E87" w:rsidRDefault="00B1549C" w:rsidP="002F2398">
      <w:pPr>
        <w:pStyle w:val="Ttulo1"/>
        <w:rPr>
          <w:rFonts w:asciiTheme="majorHAnsi" w:hAnsiTheme="majorHAnsi" w:cstheme="majorHAnsi"/>
          <w:b/>
          <w:bCs/>
          <w:sz w:val="22"/>
          <w:szCs w:val="22"/>
        </w:rPr>
      </w:pPr>
      <w:r w:rsidRPr="00856E87">
        <w:rPr>
          <w:rFonts w:asciiTheme="majorHAnsi" w:hAnsiTheme="majorHAnsi" w:cstheme="majorHAnsi"/>
          <w:b/>
          <w:bCs/>
          <w:sz w:val="22"/>
          <w:szCs w:val="22"/>
        </w:rPr>
        <w:t>ATIVIDADE PRÁTICA</w:t>
      </w:r>
    </w:p>
    <w:p w14:paraId="65BE3634" w14:textId="166658B3" w:rsidR="00B1549C" w:rsidRPr="00856E87" w:rsidRDefault="006A06BC" w:rsidP="002F239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56E87">
        <w:rPr>
          <w:rFonts w:asciiTheme="majorHAnsi" w:hAnsiTheme="majorHAnsi" w:cstheme="majorHAnsi"/>
          <w:b/>
          <w:sz w:val="22"/>
          <w:szCs w:val="22"/>
        </w:rPr>
        <w:t xml:space="preserve">Caso </w:t>
      </w:r>
      <w:r w:rsidR="00D611D1" w:rsidRPr="00856E87">
        <w:rPr>
          <w:rFonts w:asciiTheme="majorHAnsi" w:hAnsiTheme="majorHAnsi" w:cstheme="majorHAnsi"/>
          <w:b/>
          <w:sz w:val="22"/>
          <w:szCs w:val="22"/>
        </w:rPr>
        <w:t>6 (AREsp)</w:t>
      </w:r>
    </w:p>
    <w:p w14:paraId="273F43AC" w14:textId="7BA637A6" w:rsidR="00D611D1" w:rsidRPr="00856E87" w:rsidRDefault="00D611D1" w:rsidP="00F90C8B">
      <w:pPr>
        <w:ind w:right="142" w:firstLine="851"/>
        <w:jc w:val="both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sz w:val="22"/>
          <w:szCs w:val="22"/>
        </w:rPr>
        <w:t>Marco Túlio, jornalista</w:t>
      </w:r>
      <w:r w:rsidR="00744752" w:rsidRPr="00856E87">
        <w:rPr>
          <w:rFonts w:asciiTheme="majorHAnsi" w:hAnsiTheme="majorHAnsi" w:cstheme="majorHAnsi"/>
          <w:sz w:val="22"/>
          <w:szCs w:val="22"/>
        </w:rPr>
        <w:t xml:space="preserve"> e ambientalista</w:t>
      </w:r>
      <w:r w:rsidRPr="00856E87">
        <w:rPr>
          <w:rFonts w:asciiTheme="majorHAnsi" w:hAnsiTheme="majorHAnsi" w:cstheme="majorHAnsi"/>
          <w:sz w:val="22"/>
          <w:szCs w:val="22"/>
        </w:rPr>
        <w:t xml:space="preserve">, </w:t>
      </w:r>
      <w:r w:rsidR="00744752" w:rsidRPr="00856E87">
        <w:rPr>
          <w:rFonts w:asciiTheme="majorHAnsi" w:hAnsiTheme="majorHAnsi" w:cstheme="majorHAnsi"/>
          <w:sz w:val="22"/>
          <w:szCs w:val="22"/>
        </w:rPr>
        <w:t>em 22/01/201</w:t>
      </w:r>
      <w:r w:rsidR="0011263C">
        <w:rPr>
          <w:rFonts w:asciiTheme="majorHAnsi" w:hAnsiTheme="majorHAnsi" w:cstheme="majorHAnsi"/>
          <w:sz w:val="22"/>
          <w:szCs w:val="22"/>
        </w:rPr>
        <w:t>4</w:t>
      </w:r>
      <w:r w:rsidR="00744752" w:rsidRPr="00856E87">
        <w:rPr>
          <w:rFonts w:asciiTheme="majorHAnsi" w:hAnsiTheme="majorHAnsi" w:cstheme="majorHAnsi"/>
          <w:sz w:val="22"/>
          <w:szCs w:val="22"/>
        </w:rPr>
        <w:t xml:space="preserve"> fez três postagens no Facebook alegando que a empresa Predial Incorporações LTDA</w:t>
      </w:r>
      <w:r w:rsidR="00F90C8B">
        <w:rPr>
          <w:rFonts w:asciiTheme="majorHAnsi" w:hAnsiTheme="majorHAnsi" w:cstheme="majorHAnsi"/>
          <w:sz w:val="22"/>
          <w:szCs w:val="22"/>
        </w:rPr>
        <w:t>.</w:t>
      </w:r>
      <w:r w:rsidR="00744752" w:rsidRPr="00856E87">
        <w:rPr>
          <w:rFonts w:asciiTheme="majorHAnsi" w:hAnsiTheme="majorHAnsi" w:cstheme="majorHAnsi"/>
          <w:sz w:val="22"/>
          <w:szCs w:val="22"/>
        </w:rPr>
        <w:t xml:space="preserve"> e o seu proprietário </w:t>
      </w:r>
      <w:proofErr w:type="spellStart"/>
      <w:r w:rsidR="00744752" w:rsidRPr="00856E87">
        <w:rPr>
          <w:rFonts w:asciiTheme="majorHAnsi" w:hAnsiTheme="majorHAnsi" w:cstheme="majorHAnsi"/>
          <w:sz w:val="22"/>
          <w:szCs w:val="22"/>
        </w:rPr>
        <w:t>Jeanpierre</w:t>
      </w:r>
      <w:proofErr w:type="spellEnd"/>
      <w:r w:rsidR="00744752" w:rsidRPr="00856E87">
        <w:rPr>
          <w:rFonts w:asciiTheme="majorHAnsi" w:hAnsiTheme="majorHAnsi" w:cstheme="majorHAnsi"/>
          <w:sz w:val="22"/>
          <w:szCs w:val="22"/>
        </w:rPr>
        <w:t xml:space="preserve"> seriam responsáveis pela aprovação fraudulenta de Plano de Desenvolvimento Urbano na cidade de Bragança Paulista</w:t>
      </w:r>
      <w:r w:rsidR="00F90C8B">
        <w:rPr>
          <w:rFonts w:asciiTheme="majorHAnsi" w:hAnsiTheme="majorHAnsi" w:cstheme="majorHAnsi"/>
          <w:sz w:val="22"/>
          <w:szCs w:val="22"/>
        </w:rPr>
        <w:t>,</w:t>
      </w:r>
      <w:r w:rsidR="00744752" w:rsidRPr="00856E87">
        <w:rPr>
          <w:rFonts w:asciiTheme="majorHAnsi" w:hAnsiTheme="majorHAnsi" w:cstheme="majorHAnsi"/>
          <w:sz w:val="22"/>
          <w:szCs w:val="22"/>
        </w:rPr>
        <w:t xml:space="preserve"> que autorizava a expansão imobiliária para determinada área que era considerada como resquício de mata atlântica e que isso somente teria ocorrido porque a Câmara de Vereadores recebeu suborno.</w:t>
      </w:r>
    </w:p>
    <w:p w14:paraId="3D1A62FD" w14:textId="669B83C5" w:rsidR="0011263C" w:rsidRDefault="00744752" w:rsidP="0011263C">
      <w:pPr>
        <w:ind w:right="142" w:firstLine="851"/>
        <w:jc w:val="both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sz w:val="22"/>
          <w:szCs w:val="22"/>
        </w:rPr>
        <w:t>Em razão desse fato, foi apresentada queixa-crime p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or </w:t>
      </w:r>
      <w:proofErr w:type="spellStart"/>
      <w:r w:rsidR="00A95782" w:rsidRPr="00856E87">
        <w:rPr>
          <w:rFonts w:asciiTheme="majorHAnsi" w:hAnsiTheme="majorHAnsi" w:cstheme="majorHAnsi"/>
          <w:sz w:val="22"/>
          <w:szCs w:val="22"/>
        </w:rPr>
        <w:t>Jeanpierre</w:t>
      </w:r>
      <w:proofErr w:type="spellEnd"/>
      <w:r w:rsidR="00A95782" w:rsidRPr="00856E87">
        <w:rPr>
          <w:rFonts w:asciiTheme="majorHAnsi" w:hAnsiTheme="majorHAnsi" w:cstheme="majorHAnsi"/>
          <w:sz w:val="22"/>
          <w:szCs w:val="22"/>
        </w:rPr>
        <w:t>, imputa</w:t>
      </w:r>
      <w:r w:rsidR="00F90C8B">
        <w:rPr>
          <w:rFonts w:asciiTheme="majorHAnsi" w:hAnsiTheme="majorHAnsi" w:cstheme="majorHAnsi"/>
          <w:sz w:val="22"/>
          <w:szCs w:val="22"/>
        </w:rPr>
        <w:t>ndo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 </w:t>
      </w:r>
      <w:r w:rsidR="00F90C8B">
        <w:rPr>
          <w:rFonts w:asciiTheme="majorHAnsi" w:hAnsiTheme="majorHAnsi" w:cstheme="majorHAnsi"/>
          <w:sz w:val="22"/>
          <w:szCs w:val="22"/>
        </w:rPr>
        <w:t xml:space="preserve">a </w:t>
      </w:r>
      <w:r w:rsidR="00A95782" w:rsidRPr="00856E87">
        <w:rPr>
          <w:rFonts w:asciiTheme="majorHAnsi" w:hAnsiTheme="majorHAnsi" w:cstheme="majorHAnsi"/>
          <w:sz w:val="22"/>
          <w:szCs w:val="22"/>
        </w:rPr>
        <w:t>Marco Túlio três crimes de calúnia, em concurso formal impróprio (pela tese de desígnios autônomos), que totalizavam</w:t>
      </w:r>
      <w:r w:rsidR="00F90C8B">
        <w:rPr>
          <w:rFonts w:asciiTheme="majorHAnsi" w:hAnsiTheme="majorHAnsi" w:cstheme="majorHAnsi"/>
          <w:sz w:val="22"/>
          <w:szCs w:val="22"/>
        </w:rPr>
        <w:t>,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 </w:t>
      </w:r>
      <w:r w:rsidR="00A95782" w:rsidRPr="00856E87">
        <w:rPr>
          <w:rFonts w:asciiTheme="majorHAnsi" w:hAnsiTheme="majorHAnsi" w:cstheme="majorHAnsi"/>
          <w:i/>
          <w:iCs/>
          <w:sz w:val="22"/>
          <w:szCs w:val="22"/>
        </w:rPr>
        <w:t xml:space="preserve">in abstrato </w:t>
      </w:r>
      <w:r w:rsidR="00F90C8B">
        <w:rPr>
          <w:rFonts w:asciiTheme="majorHAnsi" w:hAnsiTheme="majorHAnsi" w:cstheme="majorHAnsi"/>
          <w:sz w:val="22"/>
          <w:szCs w:val="22"/>
        </w:rPr>
        <w:t xml:space="preserve">pena de 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6 anos </w:t>
      </w:r>
      <w:r w:rsidR="00F90C8B">
        <w:rPr>
          <w:rFonts w:asciiTheme="majorHAnsi" w:hAnsiTheme="majorHAnsi" w:cstheme="majorHAnsi"/>
          <w:sz w:val="22"/>
          <w:szCs w:val="22"/>
        </w:rPr>
        <w:t xml:space="preserve">de detenção 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e multa. </w:t>
      </w:r>
      <w:r w:rsidR="0011263C">
        <w:rPr>
          <w:rFonts w:asciiTheme="majorHAnsi" w:hAnsiTheme="majorHAnsi" w:cstheme="majorHAnsi"/>
          <w:sz w:val="22"/>
          <w:szCs w:val="22"/>
        </w:rPr>
        <w:t>Infrutífera a audiência de reconciliação, o querelado foi citado e a queixa foi recebida em 23/04/2015. Na resposta, a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 defesa alegou atipicidade da conduta de Marco Túlio, tendo em vista que</w:t>
      </w:r>
      <w:r w:rsidR="00F12160" w:rsidRPr="00856E87">
        <w:rPr>
          <w:rFonts w:asciiTheme="majorHAnsi" w:hAnsiTheme="majorHAnsi" w:cstheme="majorHAnsi"/>
          <w:sz w:val="22"/>
          <w:szCs w:val="22"/>
        </w:rPr>
        <w:t xml:space="preserve">: (1) 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ele não atribuiu </w:t>
      </w:r>
      <w:r w:rsidR="00F90C8B">
        <w:rPr>
          <w:rFonts w:asciiTheme="majorHAnsi" w:hAnsiTheme="majorHAnsi" w:cstheme="majorHAnsi"/>
          <w:sz w:val="22"/>
          <w:szCs w:val="22"/>
        </w:rPr>
        <w:t xml:space="preserve">a </w:t>
      </w:r>
      <w:proofErr w:type="spellStart"/>
      <w:r w:rsidR="00A95782" w:rsidRPr="00856E87">
        <w:rPr>
          <w:rFonts w:asciiTheme="majorHAnsi" w:hAnsiTheme="majorHAnsi" w:cstheme="majorHAnsi"/>
          <w:sz w:val="22"/>
          <w:szCs w:val="22"/>
        </w:rPr>
        <w:t>Jeanpierre</w:t>
      </w:r>
      <w:proofErr w:type="spellEnd"/>
      <w:r w:rsidR="00A95782" w:rsidRPr="00856E87">
        <w:rPr>
          <w:rFonts w:asciiTheme="majorHAnsi" w:hAnsiTheme="majorHAnsi" w:cstheme="majorHAnsi"/>
          <w:sz w:val="22"/>
          <w:szCs w:val="22"/>
        </w:rPr>
        <w:t xml:space="preserve"> a autoria de nenhum crime em específico</w:t>
      </w:r>
      <w:r w:rsidR="00F12160" w:rsidRPr="00856E87">
        <w:rPr>
          <w:rFonts w:asciiTheme="majorHAnsi" w:hAnsiTheme="majorHAnsi" w:cstheme="majorHAnsi"/>
          <w:sz w:val="22"/>
          <w:szCs w:val="22"/>
        </w:rPr>
        <w:t>; (2)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 suas </w:t>
      </w:r>
      <w:r w:rsidR="00F12160" w:rsidRPr="00856E87">
        <w:rPr>
          <w:rFonts w:asciiTheme="majorHAnsi" w:hAnsiTheme="majorHAnsi" w:cstheme="majorHAnsi"/>
          <w:sz w:val="22"/>
          <w:szCs w:val="22"/>
        </w:rPr>
        <w:t>postagens</w:t>
      </w:r>
      <w:r w:rsidR="00A95782" w:rsidRPr="00856E87">
        <w:rPr>
          <w:rFonts w:asciiTheme="majorHAnsi" w:hAnsiTheme="majorHAnsi" w:cstheme="majorHAnsi"/>
          <w:sz w:val="22"/>
          <w:szCs w:val="22"/>
        </w:rPr>
        <w:t xml:space="preserve"> se encontravam </w:t>
      </w:r>
      <w:r w:rsidR="00F12160" w:rsidRPr="00856E87">
        <w:rPr>
          <w:rFonts w:asciiTheme="majorHAnsi" w:hAnsiTheme="majorHAnsi" w:cstheme="majorHAnsi"/>
          <w:sz w:val="22"/>
          <w:szCs w:val="22"/>
        </w:rPr>
        <w:t>ainda protegidas pela liberdade de imprensa.</w:t>
      </w:r>
      <w:r w:rsidR="0011263C">
        <w:rPr>
          <w:rFonts w:asciiTheme="majorHAnsi" w:hAnsiTheme="majorHAnsi" w:cstheme="majorHAnsi"/>
          <w:sz w:val="22"/>
          <w:szCs w:val="22"/>
        </w:rPr>
        <w:t xml:space="preserve"> Não foram ouvidas testemunhas. As partes, em alegações finais, reiteraram os termos da denúncia e da resposta à acusação. Ao final, no dia 10/07/2016, foi proferida sentença que absolveu </w:t>
      </w:r>
      <w:r w:rsidR="00F12160" w:rsidRPr="00856E87">
        <w:rPr>
          <w:rFonts w:asciiTheme="majorHAnsi" w:hAnsiTheme="majorHAnsi" w:cstheme="majorHAnsi"/>
          <w:sz w:val="22"/>
          <w:szCs w:val="22"/>
        </w:rPr>
        <w:t>Marco Túlio</w:t>
      </w:r>
      <w:r w:rsidR="0011263C">
        <w:rPr>
          <w:rFonts w:asciiTheme="majorHAnsi" w:hAnsiTheme="majorHAnsi" w:cstheme="majorHAnsi"/>
          <w:sz w:val="22"/>
          <w:szCs w:val="22"/>
        </w:rPr>
        <w:t>,</w:t>
      </w:r>
      <w:r w:rsidR="00F12160" w:rsidRPr="00856E87">
        <w:rPr>
          <w:rFonts w:asciiTheme="majorHAnsi" w:hAnsiTheme="majorHAnsi" w:cstheme="majorHAnsi"/>
          <w:sz w:val="22"/>
          <w:szCs w:val="22"/>
        </w:rPr>
        <w:t xml:space="preserve"> </w:t>
      </w:r>
      <w:r w:rsidR="007A7780" w:rsidRPr="00856E87">
        <w:rPr>
          <w:rFonts w:asciiTheme="majorHAnsi" w:hAnsiTheme="majorHAnsi" w:cstheme="majorHAnsi"/>
          <w:sz w:val="22"/>
          <w:szCs w:val="22"/>
        </w:rPr>
        <w:t>por atipicidade de conduta</w:t>
      </w:r>
      <w:r w:rsidR="00F90C8B">
        <w:rPr>
          <w:rFonts w:asciiTheme="majorHAnsi" w:hAnsiTheme="majorHAnsi" w:cstheme="majorHAnsi"/>
          <w:sz w:val="22"/>
          <w:szCs w:val="22"/>
        </w:rPr>
        <w:t>,</w:t>
      </w:r>
      <w:r w:rsidR="007A7780" w:rsidRPr="00856E87">
        <w:rPr>
          <w:rFonts w:asciiTheme="majorHAnsi" w:hAnsiTheme="majorHAnsi" w:cstheme="majorHAnsi"/>
          <w:sz w:val="22"/>
          <w:szCs w:val="22"/>
        </w:rPr>
        <w:t xml:space="preserve"> reconhecendo-se as duas teses da defesa. </w:t>
      </w:r>
    </w:p>
    <w:p w14:paraId="7AB9ACD6" w14:textId="4B49F65E" w:rsidR="007A7780" w:rsidRPr="00856E87" w:rsidRDefault="007A7780" w:rsidP="00F90C8B">
      <w:pPr>
        <w:ind w:right="142" w:firstLine="851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856E87">
        <w:rPr>
          <w:rFonts w:asciiTheme="majorHAnsi" w:hAnsiTheme="majorHAnsi" w:cstheme="majorHAnsi"/>
          <w:sz w:val="22"/>
          <w:szCs w:val="22"/>
        </w:rPr>
        <w:t>Jeanpierre</w:t>
      </w:r>
      <w:proofErr w:type="spellEnd"/>
      <w:r w:rsidRPr="00856E87">
        <w:rPr>
          <w:rFonts w:asciiTheme="majorHAnsi" w:hAnsiTheme="majorHAnsi" w:cstheme="majorHAnsi"/>
          <w:sz w:val="22"/>
          <w:szCs w:val="22"/>
        </w:rPr>
        <w:t xml:space="preserve"> </w:t>
      </w:r>
      <w:r w:rsidR="00F90C8B">
        <w:rPr>
          <w:rFonts w:asciiTheme="majorHAnsi" w:hAnsiTheme="majorHAnsi" w:cstheme="majorHAnsi"/>
          <w:sz w:val="22"/>
          <w:szCs w:val="22"/>
        </w:rPr>
        <w:t>apelou</w:t>
      </w:r>
      <w:r w:rsidRPr="00856E87">
        <w:rPr>
          <w:rFonts w:asciiTheme="majorHAnsi" w:hAnsiTheme="majorHAnsi" w:cstheme="majorHAnsi"/>
          <w:sz w:val="22"/>
          <w:szCs w:val="22"/>
        </w:rPr>
        <w:t xml:space="preserve"> </w:t>
      </w:r>
      <w:r w:rsidR="0011263C">
        <w:rPr>
          <w:rFonts w:asciiTheme="majorHAnsi" w:hAnsiTheme="majorHAnsi" w:cstheme="majorHAnsi"/>
          <w:sz w:val="22"/>
          <w:szCs w:val="22"/>
        </w:rPr>
        <w:t xml:space="preserve">da sentença. O </w:t>
      </w:r>
      <w:r w:rsidRPr="00856E87">
        <w:rPr>
          <w:rFonts w:asciiTheme="majorHAnsi" w:hAnsiTheme="majorHAnsi" w:cstheme="majorHAnsi"/>
          <w:sz w:val="22"/>
          <w:szCs w:val="22"/>
        </w:rPr>
        <w:t xml:space="preserve">TJSP </w:t>
      </w:r>
      <w:r w:rsidR="0011263C">
        <w:rPr>
          <w:rFonts w:asciiTheme="majorHAnsi" w:hAnsiTheme="majorHAnsi" w:cstheme="majorHAnsi"/>
          <w:sz w:val="22"/>
          <w:szCs w:val="22"/>
        </w:rPr>
        <w:t xml:space="preserve">deu provimento ao recurso e, em julgamento ocorrido 24/03/2023 </w:t>
      </w:r>
      <w:r w:rsidR="00F90C8B">
        <w:rPr>
          <w:rFonts w:asciiTheme="majorHAnsi" w:hAnsiTheme="majorHAnsi" w:cstheme="majorHAnsi"/>
          <w:sz w:val="22"/>
          <w:szCs w:val="22"/>
        </w:rPr>
        <w:t xml:space="preserve">condenou Marco Túlio por </w:t>
      </w:r>
      <w:r w:rsidR="0011263C">
        <w:rPr>
          <w:rFonts w:asciiTheme="majorHAnsi" w:hAnsiTheme="majorHAnsi" w:cstheme="majorHAnsi"/>
          <w:sz w:val="22"/>
          <w:szCs w:val="22"/>
        </w:rPr>
        <w:t xml:space="preserve">3 crimes de </w:t>
      </w:r>
      <w:r w:rsidR="00F90C8B">
        <w:rPr>
          <w:rFonts w:asciiTheme="majorHAnsi" w:hAnsiTheme="majorHAnsi" w:cstheme="majorHAnsi"/>
          <w:sz w:val="22"/>
          <w:szCs w:val="22"/>
        </w:rPr>
        <w:t>calúnia, em</w:t>
      </w:r>
      <w:r w:rsidRPr="00856E87">
        <w:rPr>
          <w:rFonts w:asciiTheme="majorHAnsi" w:hAnsiTheme="majorHAnsi" w:cstheme="majorHAnsi"/>
          <w:sz w:val="22"/>
          <w:szCs w:val="22"/>
        </w:rPr>
        <w:t xml:space="preserve"> concurso formal impróprio,</w:t>
      </w:r>
      <w:r w:rsidR="0011263C">
        <w:rPr>
          <w:rFonts w:asciiTheme="majorHAnsi" w:hAnsiTheme="majorHAnsi" w:cstheme="majorHAnsi"/>
          <w:sz w:val="22"/>
          <w:szCs w:val="22"/>
        </w:rPr>
        <w:t xml:space="preserve"> aplicando a cada calúnia a pena de </w:t>
      </w:r>
      <w:r w:rsidR="00884D7D">
        <w:rPr>
          <w:rFonts w:asciiTheme="majorHAnsi" w:hAnsiTheme="majorHAnsi" w:cstheme="majorHAnsi"/>
          <w:sz w:val="22"/>
          <w:szCs w:val="22"/>
        </w:rPr>
        <w:t>9</w:t>
      </w:r>
      <w:r w:rsidR="0011263C">
        <w:rPr>
          <w:rFonts w:asciiTheme="majorHAnsi" w:hAnsiTheme="majorHAnsi" w:cstheme="majorHAnsi"/>
          <w:sz w:val="22"/>
          <w:szCs w:val="22"/>
        </w:rPr>
        <w:t xml:space="preserve"> </w:t>
      </w:r>
      <w:r w:rsidR="00884D7D">
        <w:rPr>
          <w:rFonts w:asciiTheme="majorHAnsi" w:hAnsiTheme="majorHAnsi" w:cstheme="majorHAnsi"/>
          <w:sz w:val="22"/>
          <w:szCs w:val="22"/>
        </w:rPr>
        <w:t xml:space="preserve">meses de </w:t>
      </w:r>
      <w:r w:rsidR="0011263C">
        <w:rPr>
          <w:rFonts w:asciiTheme="majorHAnsi" w:hAnsiTheme="majorHAnsi" w:cstheme="majorHAnsi"/>
          <w:sz w:val="22"/>
          <w:szCs w:val="22"/>
        </w:rPr>
        <w:t>detenção</w:t>
      </w:r>
      <w:r w:rsidR="00884D7D">
        <w:rPr>
          <w:rFonts w:asciiTheme="majorHAnsi" w:hAnsiTheme="majorHAnsi" w:cstheme="majorHAnsi"/>
          <w:sz w:val="22"/>
          <w:szCs w:val="22"/>
        </w:rPr>
        <w:t>.</w:t>
      </w:r>
      <w:r w:rsidR="0011263C">
        <w:rPr>
          <w:rFonts w:asciiTheme="majorHAnsi" w:hAnsiTheme="majorHAnsi" w:cstheme="majorHAnsi"/>
          <w:sz w:val="22"/>
          <w:szCs w:val="22"/>
        </w:rPr>
        <w:t xml:space="preserve"> Além disso, </w:t>
      </w:r>
      <w:r w:rsidR="00F90C8B">
        <w:rPr>
          <w:rFonts w:asciiTheme="majorHAnsi" w:hAnsiTheme="majorHAnsi" w:cstheme="majorHAnsi"/>
          <w:sz w:val="22"/>
          <w:szCs w:val="22"/>
        </w:rPr>
        <w:t>reconheceu a</w:t>
      </w:r>
      <w:r w:rsidRPr="00856E87">
        <w:rPr>
          <w:rFonts w:asciiTheme="majorHAnsi" w:hAnsiTheme="majorHAnsi" w:cstheme="majorHAnsi"/>
          <w:sz w:val="22"/>
          <w:szCs w:val="22"/>
        </w:rPr>
        <w:t xml:space="preserve"> incidência da causa de aumento de pena pelo meio </w:t>
      </w:r>
      <w:r w:rsidR="00F90C8B">
        <w:rPr>
          <w:rFonts w:asciiTheme="majorHAnsi" w:hAnsiTheme="majorHAnsi" w:cstheme="majorHAnsi"/>
          <w:sz w:val="22"/>
          <w:szCs w:val="22"/>
        </w:rPr>
        <w:t xml:space="preserve">empregado </w:t>
      </w:r>
      <w:r w:rsidRPr="00856E87">
        <w:rPr>
          <w:rFonts w:asciiTheme="majorHAnsi" w:hAnsiTheme="majorHAnsi" w:cstheme="majorHAnsi"/>
          <w:sz w:val="22"/>
          <w:szCs w:val="22"/>
        </w:rPr>
        <w:t>(§</w:t>
      </w:r>
      <w:r w:rsidR="00F90C8B">
        <w:rPr>
          <w:rFonts w:asciiTheme="majorHAnsi" w:hAnsiTheme="majorHAnsi" w:cstheme="majorHAnsi"/>
          <w:sz w:val="22"/>
          <w:szCs w:val="22"/>
        </w:rPr>
        <w:t xml:space="preserve"> </w:t>
      </w:r>
      <w:r w:rsidRPr="00856E87">
        <w:rPr>
          <w:rFonts w:asciiTheme="majorHAnsi" w:hAnsiTheme="majorHAnsi" w:cstheme="majorHAnsi"/>
          <w:sz w:val="22"/>
          <w:szCs w:val="22"/>
        </w:rPr>
        <w:t xml:space="preserve">2º desse mesmo artigo), </w:t>
      </w:r>
      <w:r w:rsidR="00884D7D">
        <w:rPr>
          <w:rFonts w:asciiTheme="majorHAnsi" w:hAnsiTheme="majorHAnsi" w:cstheme="majorHAnsi"/>
          <w:sz w:val="22"/>
          <w:szCs w:val="22"/>
        </w:rPr>
        <w:t xml:space="preserve">ficando a pena de cada calúnia em 2 anos e 3 meses de detenção. Somadas, a pena total foi de 6 anos e 9 anos de detenção. </w:t>
      </w:r>
    </w:p>
    <w:p w14:paraId="746A8AC3" w14:textId="34B383FB" w:rsidR="00F12160" w:rsidRPr="00856E87" w:rsidRDefault="007A7780" w:rsidP="00F90C8B">
      <w:pPr>
        <w:ind w:right="142" w:firstLine="851"/>
        <w:jc w:val="both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sz w:val="22"/>
          <w:szCs w:val="22"/>
        </w:rPr>
        <w:t>Foram opostos embargos de declaração por Marco Túlio</w:t>
      </w:r>
      <w:r w:rsidR="00F90C8B">
        <w:rPr>
          <w:rFonts w:asciiTheme="majorHAnsi" w:hAnsiTheme="majorHAnsi" w:cstheme="majorHAnsi"/>
          <w:sz w:val="22"/>
          <w:szCs w:val="22"/>
        </w:rPr>
        <w:t xml:space="preserve">, </w:t>
      </w:r>
      <w:r w:rsidRPr="00856E87">
        <w:rPr>
          <w:rFonts w:asciiTheme="majorHAnsi" w:hAnsiTheme="majorHAnsi" w:cstheme="majorHAnsi"/>
          <w:sz w:val="22"/>
          <w:szCs w:val="22"/>
        </w:rPr>
        <w:t xml:space="preserve">alegando omissão quanto à aplicabilidade do art. 71 do CP, haja vista que as três postagens se deram no mesmo dia e no mesmo canal, assim como infringência do princípio da </w:t>
      </w:r>
      <w:r w:rsidR="00856E87">
        <w:rPr>
          <w:rFonts w:asciiTheme="majorHAnsi" w:hAnsiTheme="majorHAnsi" w:cstheme="majorHAnsi"/>
          <w:sz w:val="22"/>
          <w:szCs w:val="22"/>
        </w:rPr>
        <w:t xml:space="preserve">irretroatividade </w:t>
      </w:r>
      <w:r w:rsidR="00F90C8B">
        <w:rPr>
          <w:rFonts w:asciiTheme="majorHAnsi" w:hAnsiTheme="majorHAnsi" w:cstheme="majorHAnsi"/>
          <w:sz w:val="22"/>
          <w:szCs w:val="22"/>
        </w:rPr>
        <w:t xml:space="preserve">da lei penal mais gravosa, </w:t>
      </w:r>
      <w:r w:rsidRPr="00856E87">
        <w:rPr>
          <w:rFonts w:asciiTheme="majorHAnsi" w:hAnsiTheme="majorHAnsi" w:cstheme="majorHAnsi"/>
          <w:sz w:val="22"/>
          <w:szCs w:val="22"/>
        </w:rPr>
        <w:t>haja vista a impossibilidade de o §</w:t>
      </w:r>
      <w:r w:rsidR="00F90C8B">
        <w:rPr>
          <w:rFonts w:asciiTheme="majorHAnsi" w:hAnsiTheme="majorHAnsi" w:cstheme="majorHAnsi"/>
          <w:sz w:val="22"/>
          <w:szCs w:val="22"/>
        </w:rPr>
        <w:t xml:space="preserve"> </w:t>
      </w:r>
      <w:r w:rsidRPr="00856E87">
        <w:rPr>
          <w:rFonts w:asciiTheme="majorHAnsi" w:hAnsiTheme="majorHAnsi" w:cstheme="majorHAnsi"/>
          <w:sz w:val="22"/>
          <w:szCs w:val="22"/>
        </w:rPr>
        <w:t>2º do art. 141 do CP</w:t>
      </w:r>
      <w:r w:rsidR="00F90C8B">
        <w:rPr>
          <w:rFonts w:asciiTheme="majorHAnsi" w:hAnsiTheme="majorHAnsi" w:cstheme="majorHAnsi"/>
          <w:sz w:val="22"/>
          <w:szCs w:val="22"/>
        </w:rPr>
        <w:t xml:space="preserve"> não poderia ser aplicado a crime </w:t>
      </w:r>
      <w:r w:rsidRPr="00856E87">
        <w:rPr>
          <w:rFonts w:asciiTheme="majorHAnsi" w:hAnsiTheme="majorHAnsi" w:cstheme="majorHAnsi"/>
          <w:sz w:val="22"/>
          <w:szCs w:val="22"/>
        </w:rPr>
        <w:t>cometido em 201</w:t>
      </w:r>
      <w:r w:rsidR="00884D7D">
        <w:rPr>
          <w:rFonts w:asciiTheme="majorHAnsi" w:hAnsiTheme="majorHAnsi" w:cstheme="majorHAnsi"/>
          <w:sz w:val="22"/>
          <w:szCs w:val="22"/>
        </w:rPr>
        <w:t>4</w:t>
      </w:r>
      <w:r w:rsidRPr="00856E87">
        <w:rPr>
          <w:rFonts w:asciiTheme="majorHAnsi" w:hAnsiTheme="majorHAnsi" w:cstheme="majorHAnsi"/>
          <w:sz w:val="22"/>
          <w:szCs w:val="22"/>
        </w:rPr>
        <w:t xml:space="preserve">. </w:t>
      </w:r>
      <w:r w:rsidR="00F90C8B">
        <w:rPr>
          <w:rFonts w:asciiTheme="majorHAnsi" w:hAnsiTheme="majorHAnsi" w:cstheme="majorHAnsi"/>
          <w:sz w:val="22"/>
          <w:szCs w:val="22"/>
        </w:rPr>
        <w:t xml:space="preserve">Ainda segundo a </w:t>
      </w:r>
      <w:r w:rsidRPr="00856E87">
        <w:rPr>
          <w:rFonts w:asciiTheme="majorHAnsi" w:hAnsiTheme="majorHAnsi" w:cstheme="majorHAnsi"/>
          <w:sz w:val="22"/>
          <w:szCs w:val="22"/>
        </w:rPr>
        <w:t xml:space="preserve">defesa de Marco Túlio, o TJSP </w:t>
      </w:r>
      <w:r w:rsidR="00F90C8B">
        <w:rPr>
          <w:rFonts w:asciiTheme="majorHAnsi" w:hAnsiTheme="majorHAnsi" w:cstheme="majorHAnsi"/>
          <w:sz w:val="22"/>
          <w:szCs w:val="22"/>
        </w:rPr>
        <w:t>assim decidiu</w:t>
      </w:r>
      <w:r w:rsidRPr="00856E87">
        <w:rPr>
          <w:rFonts w:asciiTheme="majorHAnsi" w:hAnsiTheme="majorHAnsi" w:cstheme="majorHAnsi"/>
          <w:sz w:val="22"/>
          <w:szCs w:val="22"/>
        </w:rPr>
        <w:t xml:space="preserve"> para evitar que o processo fosse remitido para o Juizado e que fosse reconhecida a prescrição intercorrente entre a data d</w:t>
      </w:r>
      <w:r w:rsidR="001B376D" w:rsidRPr="00856E87">
        <w:rPr>
          <w:rFonts w:asciiTheme="majorHAnsi" w:hAnsiTheme="majorHAnsi" w:cstheme="majorHAnsi"/>
          <w:sz w:val="22"/>
          <w:szCs w:val="22"/>
        </w:rPr>
        <w:t>e recebimento da denúncia (</w:t>
      </w:r>
      <w:r w:rsidR="00884D7D">
        <w:rPr>
          <w:rFonts w:asciiTheme="majorHAnsi" w:hAnsiTheme="majorHAnsi" w:cstheme="majorHAnsi"/>
          <w:sz w:val="22"/>
          <w:szCs w:val="22"/>
        </w:rPr>
        <w:t>23</w:t>
      </w:r>
      <w:r w:rsidR="001B376D" w:rsidRPr="00856E87">
        <w:rPr>
          <w:rFonts w:asciiTheme="majorHAnsi" w:hAnsiTheme="majorHAnsi" w:cstheme="majorHAnsi"/>
          <w:sz w:val="22"/>
          <w:szCs w:val="22"/>
        </w:rPr>
        <w:t>/04/201</w:t>
      </w:r>
      <w:r w:rsidR="00884D7D">
        <w:rPr>
          <w:rFonts w:asciiTheme="majorHAnsi" w:hAnsiTheme="majorHAnsi" w:cstheme="majorHAnsi"/>
          <w:sz w:val="22"/>
          <w:szCs w:val="22"/>
        </w:rPr>
        <w:t>5</w:t>
      </w:r>
      <w:r w:rsidR="001B376D" w:rsidRPr="00856E87">
        <w:rPr>
          <w:rFonts w:asciiTheme="majorHAnsi" w:hAnsiTheme="majorHAnsi" w:cstheme="majorHAnsi"/>
          <w:sz w:val="22"/>
          <w:szCs w:val="22"/>
        </w:rPr>
        <w:t>) e d</w:t>
      </w:r>
      <w:r w:rsidR="00884D7D">
        <w:rPr>
          <w:rFonts w:asciiTheme="majorHAnsi" w:hAnsiTheme="majorHAnsi" w:cstheme="majorHAnsi"/>
          <w:sz w:val="22"/>
          <w:szCs w:val="22"/>
        </w:rPr>
        <w:t xml:space="preserve">a do </w:t>
      </w:r>
      <w:r w:rsidR="001B376D" w:rsidRPr="00856E87">
        <w:rPr>
          <w:rFonts w:asciiTheme="majorHAnsi" w:hAnsiTheme="majorHAnsi" w:cstheme="majorHAnsi"/>
          <w:sz w:val="22"/>
          <w:szCs w:val="22"/>
        </w:rPr>
        <w:t>acórdão (2</w:t>
      </w:r>
      <w:r w:rsidR="00884D7D">
        <w:rPr>
          <w:rFonts w:asciiTheme="majorHAnsi" w:hAnsiTheme="majorHAnsi" w:cstheme="majorHAnsi"/>
          <w:sz w:val="22"/>
          <w:szCs w:val="22"/>
        </w:rPr>
        <w:t>4</w:t>
      </w:r>
      <w:r w:rsidR="001B376D" w:rsidRPr="00856E87">
        <w:rPr>
          <w:rFonts w:asciiTheme="majorHAnsi" w:hAnsiTheme="majorHAnsi" w:cstheme="majorHAnsi"/>
          <w:sz w:val="22"/>
          <w:szCs w:val="22"/>
        </w:rPr>
        <w:t>/</w:t>
      </w:r>
      <w:r w:rsidR="00884D7D">
        <w:rPr>
          <w:rFonts w:asciiTheme="majorHAnsi" w:hAnsiTheme="majorHAnsi" w:cstheme="majorHAnsi"/>
          <w:sz w:val="22"/>
          <w:szCs w:val="22"/>
        </w:rPr>
        <w:t>03</w:t>
      </w:r>
      <w:r w:rsidR="001B376D" w:rsidRPr="00856E87">
        <w:rPr>
          <w:rFonts w:asciiTheme="majorHAnsi" w:hAnsiTheme="majorHAnsi" w:cstheme="majorHAnsi"/>
          <w:sz w:val="22"/>
          <w:szCs w:val="22"/>
        </w:rPr>
        <w:t>/202</w:t>
      </w:r>
      <w:r w:rsidR="00884D7D">
        <w:rPr>
          <w:rFonts w:asciiTheme="majorHAnsi" w:hAnsiTheme="majorHAnsi" w:cstheme="majorHAnsi"/>
          <w:sz w:val="22"/>
          <w:szCs w:val="22"/>
        </w:rPr>
        <w:t>3</w:t>
      </w:r>
      <w:r w:rsidR="001B376D" w:rsidRPr="00856E87">
        <w:rPr>
          <w:rFonts w:asciiTheme="majorHAnsi" w:hAnsiTheme="majorHAnsi" w:cstheme="majorHAnsi"/>
          <w:sz w:val="22"/>
          <w:szCs w:val="22"/>
        </w:rPr>
        <w:t>).</w:t>
      </w:r>
    </w:p>
    <w:p w14:paraId="20C01AAA" w14:textId="351E9E8E" w:rsidR="001B376D" w:rsidRPr="00856E87" w:rsidRDefault="001B376D" w:rsidP="00F90C8B">
      <w:pPr>
        <w:ind w:right="142" w:firstLine="851"/>
        <w:jc w:val="both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sz w:val="22"/>
          <w:szCs w:val="22"/>
        </w:rPr>
        <w:t xml:space="preserve">Os embargos não foram acolhidos, porque o TJSP compreendia que a defesa queria rediscutir o mérito recursal. Marco Túlio então interpôs REsp, alegando a infringência </w:t>
      </w:r>
      <w:r w:rsidR="00884D7D">
        <w:rPr>
          <w:rFonts w:asciiTheme="majorHAnsi" w:hAnsiTheme="majorHAnsi" w:cstheme="majorHAnsi"/>
          <w:sz w:val="22"/>
          <w:szCs w:val="22"/>
        </w:rPr>
        <w:t xml:space="preserve">ao art. 1º e ao art. 71 do CP </w:t>
      </w:r>
    </w:p>
    <w:p w14:paraId="3EDD3208" w14:textId="603E0866" w:rsidR="002743C6" w:rsidRPr="00856E87" w:rsidRDefault="00856E87" w:rsidP="00F90C8B">
      <w:pPr>
        <w:ind w:right="142" w:firstLine="851"/>
        <w:jc w:val="both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 w:rsidRPr="00856E87">
        <w:rPr>
          <w:rFonts w:asciiTheme="majorHAnsi" w:hAnsiTheme="majorHAnsi" w:cstheme="majorHAnsi"/>
          <w:sz w:val="22"/>
          <w:szCs w:val="22"/>
        </w:rPr>
        <w:t>REsp</w:t>
      </w:r>
      <w:proofErr w:type="spellEnd"/>
      <w:r w:rsidRPr="00856E87">
        <w:rPr>
          <w:rFonts w:asciiTheme="majorHAnsi" w:hAnsiTheme="majorHAnsi" w:cstheme="majorHAnsi"/>
          <w:sz w:val="22"/>
          <w:szCs w:val="22"/>
        </w:rPr>
        <w:t xml:space="preserve"> não foi </w:t>
      </w:r>
      <w:r w:rsidR="00884D7D">
        <w:rPr>
          <w:rFonts w:asciiTheme="majorHAnsi" w:hAnsiTheme="majorHAnsi" w:cstheme="majorHAnsi"/>
          <w:sz w:val="22"/>
          <w:szCs w:val="22"/>
        </w:rPr>
        <w:t xml:space="preserve">admito, tendo sua </w:t>
      </w:r>
      <w:r w:rsidRPr="00856E87">
        <w:rPr>
          <w:rFonts w:asciiTheme="majorHAnsi" w:hAnsiTheme="majorHAnsi" w:cstheme="majorHAnsi"/>
          <w:sz w:val="22"/>
          <w:szCs w:val="22"/>
        </w:rPr>
        <w:t xml:space="preserve">subida impedida na origem em razão da aplicação da súmula 07 do STJ. </w:t>
      </w:r>
      <w:r w:rsidR="00884D7D">
        <w:rPr>
          <w:rFonts w:asciiTheme="majorHAnsi" w:hAnsiTheme="majorHAnsi" w:cstheme="majorHAnsi"/>
          <w:sz w:val="22"/>
          <w:szCs w:val="22"/>
        </w:rPr>
        <w:t>A intimação da</w:t>
      </w:r>
      <w:r w:rsidR="00884D7D">
        <w:rPr>
          <w:rFonts w:asciiTheme="majorHAnsi" w:hAnsiTheme="majorHAnsi" w:cstheme="majorHAnsi"/>
          <w:sz w:val="22"/>
          <w:szCs w:val="22"/>
        </w:rPr>
        <w:t xml:space="preserve"> decisão </w:t>
      </w:r>
      <w:r w:rsidR="00884D7D">
        <w:rPr>
          <w:rFonts w:asciiTheme="majorHAnsi" w:hAnsiTheme="majorHAnsi" w:cstheme="majorHAnsi"/>
          <w:sz w:val="22"/>
          <w:szCs w:val="22"/>
        </w:rPr>
        <w:t xml:space="preserve">que não admitiu o Recurso Especial foi </w:t>
      </w:r>
      <w:r w:rsidR="00884D7D">
        <w:rPr>
          <w:rFonts w:asciiTheme="majorHAnsi" w:hAnsiTheme="majorHAnsi" w:cstheme="majorHAnsi"/>
          <w:sz w:val="22"/>
          <w:szCs w:val="22"/>
        </w:rPr>
        <w:t>publicada no dia 09/05/2023</w:t>
      </w:r>
      <w:r w:rsidR="00884D7D">
        <w:rPr>
          <w:rFonts w:asciiTheme="majorHAnsi" w:hAnsiTheme="majorHAnsi" w:cstheme="majorHAnsi"/>
          <w:sz w:val="22"/>
          <w:szCs w:val="22"/>
        </w:rPr>
        <w:t>.</w:t>
      </w:r>
    </w:p>
    <w:p w14:paraId="18D7195B" w14:textId="77777777" w:rsidR="00856E87" w:rsidRPr="00856E87" w:rsidRDefault="00856E87" w:rsidP="00F90C8B">
      <w:pPr>
        <w:ind w:right="142" w:firstLine="851"/>
        <w:jc w:val="both"/>
        <w:rPr>
          <w:rFonts w:asciiTheme="majorHAnsi" w:hAnsiTheme="majorHAnsi" w:cstheme="majorHAnsi"/>
          <w:sz w:val="22"/>
          <w:szCs w:val="22"/>
        </w:rPr>
      </w:pPr>
    </w:p>
    <w:p w14:paraId="7010FCA1" w14:textId="00FFFE65" w:rsidR="002743C6" w:rsidRPr="00856E87" w:rsidRDefault="002743C6" w:rsidP="00F90C8B">
      <w:pPr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b/>
          <w:bCs/>
          <w:sz w:val="22"/>
          <w:szCs w:val="22"/>
        </w:rPr>
        <w:t>QUESTÃO GRUPO DEFESA</w:t>
      </w:r>
      <w:r w:rsidRPr="00856E87">
        <w:rPr>
          <w:rFonts w:asciiTheme="majorHAnsi" w:hAnsiTheme="majorHAnsi" w:cstheme="majorHAnsi"/>
          <w:sz w:val="22"/>
          <w:szCs w:val="22"/>
        </w:rPr>
        <w:t>: Marco Túlio então procurou o escritório de vocês (que é especialista em atuação em Superiores), a fim de que seja interposto o AREsp. Redija a peça cabível, alegando toda a matéria recursal pertinente, inclusive no que diz respeito à inaplicabilidade da súmula 7 ao caso concreto.</w:t>
      </w:r>
    </w:p>
    <w:p w14:paraId="21DBF4A7" w14:textId="77777777" w:rsidR="002743C6" w:rsidRPr="00856E87" w:rsidRDefault="002743C6" w:rsidP="00F90C8B">
      <w:pPr>
        <w:ind w:right="142"/>
        <w:jc w:val="both"/>
        <w:rPr>
          <w:rFonts w:asciiTheme="majorHAnsi" w:hAnsiTheme="majorHAnsi" w:cstheme="majorHAnsi"/>
          <w:sz w:val="22"/>
          <w:szCs w:val="22"/>
        </w:rPr>
      </w:pPr>
    </w:p>
    <w:p w14:paraId="30893BF0" w14:textId="6C0E75FE" w:rsidR="00D611D1" w:rsidRPr="00856E87" w:rsidRDefault="002743C6" w:rsidP="002F2398">
      <w:pPr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856E87">
        <w:rPr>
          <w:rFonts w:asciiTheme="majorHAnsi" w:hAnsiTheme="majorHAnsi" w:cstheme="majorHAnsi"/>
          <w:b/>
          <w:bCs/>
          <w:sz w:val="22"/>
          <w:szCs w:val="22"/>
        </w:rPr>
        <w:t xml:space="preserve">QUESTÃO GRUPO </w:t>
      </w:r>
      <w:r w:rsidR="00856E87" w:rsidRPr="00856E87">
        <w:rPr>
          <w:rFonts w:asciiTheme="majorHAnsi" w:hAnsiTheme="majorHAnsi" w:cstheme="majorHAnsi"/>
          <w:b/>
          <w:bCs/>
          <w:sz w:val="22"/>
          <w:szCs w:val="22"/>
        </w:rPr>
        <w:t>MP</w:t>
      </w:r>
      <w:r w:rsidRPr="00856E87">
        <w:rPr>
          <w:rFonts w:asciiTheme="majorHAnsi" w:hAnsiTheme="majorHAnsi" w:cstheme="majorHAnsi"/>
          <w:sz w:val="22"/>
          <w:szCs w:val="22"/>
        </w:rPr>
        <w:t>: Na condição de</w:t>
      </w:r>
      <w:r w:rsidR="00856E87" w:rsidRPr="00856E87">
        <w:rPr>
          <w:rFonts w:asciiTheme="majorHAnsi" w:hAnsiTheme="majorHAnsi" w:cstheme="majorHAnsi"/>
          <w:sz w:val="22"/>
          <w:szCs w:val="22"/>
        </w:rPr>
        <w:t xml:space="preserve"> </w:t>
      </w:r>
      <w:r w:rsidR="00856E87" w:rsidRPr="00856E87">
        <w:rPr>
          <w:rFonts w:asciiTheme="majorHAnsi" w:hAnsiTheme="majorHAnsi" w:cstheme="majorHAnsi"/>
          <w:i/>
          <w:iCs/>
          <w:sz w:val="22"/>
          <w:szCs w:val="22"/>
        </w:rPr>
        <w:t>custos legis</w:t>
      </w:r>
      <w:r w:rsidR="00856E87" w:rsidRPr="00856E87">
        <w:rPr>
          <w:rFonts w:asciiTheme="majorHAnsi" w:hAnsiTheme="majorHAnsi" w:cstheme="majorHAnsi"/>
          <w:sz w:val="22"/>
          <w:szCs w:val="22"/>
        </w:rPr>
        <w:t>, redija o AREsp</w:t>
      </w:r>
      <w:r w:rsidRPr="00856E87">
        <w:rPr>
          <w:rFonts w:asciiTheme="majorHAnsi" w:hAnsiTheme="majorHAnsi" w:cstheme="majorHAnsi"/>
          <w:sz w:val="22"/>
          <w:szCs w:val="22"/>
        </w:rPr>
        <w:t xml:space="preserve"> alegando toda a matéria pertinente e as razões que determinam o conhecimento do recurso.</w:t>
      </w:r>
    </w:p>
    <w:sectPr w:rsidR="00D611D1" w:rsidRPr="00856E87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BC30" w14:textId="77777777" w:rsidR="00BD6DCC" w:rsidRDefault="00BD6DCC" w:rsidP="002743C6">
      <w:r>
        <w:separator/>
      </w:r>
    </w:p>
  </w:endnote>
  <w:endnote w:type="continuationSeparator" w:id="0">
    <w:p w14:paraId="65A60D91" w14:textId="77777777" w:rsidR="00BD6DCC" w:rsidRDefault="00BD6DCC" w:rsidP="002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854D" w14:textId="77777777" w:rsidR="00BD6DCC" w:rsidRDefault="00BD6DCC" w:rsidP="002743C6">
      <w:r>
        <w:separator/>
      </w:r>
    </w:p>
  </w:footnote>
  <w:footnote w:type="continuationSeparator" w:id="0">
    <w:p w14:paraId="4B638390" w14:textId="77777777" w:rsidR="00BD6DCC" w:rsidRDefault="00BD6DCC" w:rsidP="0027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C"/>
    <w:rsid w:val="00002722"/>
    <w:rsid w:val="00026E85"/>
    <w:rsid w:val="0011263C"/>
    <w:rsid w:val="001B376D"/>
    <w:rsid w:val="001C4A9C"/>
    <w:rsid w:val="001E06C8"/>
    <w:rsid w:val="002504DA"/>
    <w:rsid w:val="002675B3"/>
    <w:rsid w:val="002743C6"/>
    <w:rsid w:val="002964B6"/>
    <w:rsid w:val="002A0B69"/>
    <w:rsid w:val="002D09F4"/>
    <w:rsid w:val="002F2398"/>
    <w:rsid w:val="003F1A74"/>
    <w:rsid w:val="00430325"/>
    <w:rsid w:val="004F0F0D"/>
    <w:rsid w:val="005602E4"/>
    <w:rsid w:val="0056235B"/>
    <w:rsid w:val="00676B11"/>
    <w:rsid w:val="00681D42"/>
    <w:rsid w:val="006A06BC"/>
    <w:rsid w:val="00735F7F"/>
    <w:rsid w:val="00744752"/>
    <w:rsid w:val="007A7780"/>
    <w:rsid w:val="007F40DF"/>
    <w:rsid w:val="00856E87"/>
    <w:rsid w:val="00872B6E"/>
    <w:rsid w:val="00884D7D"/>
    <w:rsid w:val="009F4511"/>
    <w:rsid w:val="00A65709"/>
    <w:rsid w:val="00A95782"/>
    <w:rsid w:val="00AB3985"/>
    <w:rsid w:val="00AD216E"/>
    <w:rsid w:val="00B07080"/>
    <w:rsid w:val="00B1549C"/>
    <w:rsid w:val="00BD6DCC"/>
    <w:rsid w:val="00C248D1"/>
    <w:rsid w:val="00C31DD3"/>
    <w:rsid w:val="00CD3314"/>
    <w:rsid w:val="00D4305E"/>
    <w:rsid w:val="00D611D1"/>
    <w:rsid w:val="00DD77F3"/>
    <w:rsid w:val="00EC458D"/>
    <w:rsid w:val="00F12160"/>
    <w:rsid w:val="00F41499"/>
    <w:rsid w:val="00F90C8B"/>
    <w:rsid w:val="00FA621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C32C3"/>
  <w15:docId w15:val="{447679DE-AA64-DF47-9C82-551BC29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9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1549C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1D4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1549C"/>
    <w:rPr>
      <w:rFonts w:ascii="Times New Roman" w:eastAsia="Times New Roman" w:hAnsi="Times New Roman" w:cs="Times New Roman"/>
      <w:color w:val="000000"/>
      <w:sz w:val="44"/>
      <w:szCs w:val="44"/>
      <w:lang w:eastAsia="pt-BR"/>
    </w:rPr>
  </w:style>
  <w:style w:type="paragraph" w:styleId="NormalWeb">
    <w:name w:val="Normal (Web)"/>
    <w:basedOn w:val="Normal"/>
    <w:rsid w:val="00B1549C"/>
    <w:pPr>
      <w:spacing w:before="100" w:beforeAutospacing="1" w:after="100" w:afterAutospacing="1"/>
    </w:pPr>
    <w:rPr>
      <w:color w:val="000000"/>
    </w:rPr>
  </w:style>
  <w:style w:type="paragraph" w:styleId="Ttulo">
    <w:name w:val="Title"/>
    <w:basedOn w:val="Normal"/>
    <w:link w:val="TtuloChar"/>
    <w:qFormat/>
    <w:rsid w:val="00B1549C"/>
    <w:pPr>
      <w:spacing w:before="120" w:after="120" w:line="240" w:lineRule="atLeast"/>
      <w:jc w:val="center"/>
    </w:pPr>
    <w:rPr>
      <w:b/>
      <w:sz w:val="28"/>
    </w:rPr>
  </w:style>
  <w:style w:type="character" w:customStyle="1" w:styleId="TtuloChar">
    <w:name w:val="Título Char"/>
    <w:link w:val="Ttulo"/>
    <w:rsid w:val="00B1549C"/>
    <w:rPr>
      <w:rFonts w:ascii="Times New Roman" w:eastAsia="Times New Roman" w:hAnsi="Times New Roman" w:cs="Times New Roman"/>
      <w:b/>
      <w:sz w:val="28"/>
      <w:lang w:eastAsia="pt-BR"/>
    </w:rPr>
  </w:style>
  <w:style w:type="character" w:customStyle="1" w:styleId="txtarial10ptblack">
    <w:name w:val="txt_arial_10pt_black"/>
    <w:basedOn w:val="Fontepargpadro"/>
    <w:rsid w:val="00B1549C"/>
  </w:style>
  <w:style w:type="character" w:customStyle="1" w:styleId="Ttulo5Char">
    <w:name w:val="Título 5 Char"/>
    <w:link w:val="Ttulo5"/>
    <w:uiPriority w:val="9"/>
    <w:semiHidden/>
    <w:rsid w:val="00681D42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uiPriority w:val="99"/>
    <w:semiHidden/>
    <w:unhideWhenUsed/>
    <w:rsid w:val="00681D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4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3C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74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3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</dc:creator>
  <cp:keywords/>
  <dc:description/>
  <cp:lastModifiedBy>Gustavo Badaró | Badaró Advogados</cp:lastModifiedBy>
  <cp:revision>6</cp:revision>
  <dcterms:created xsi:type="dcterms:W3CDTF">2023-05-10T19:15:00Z</dcterms:created>
  <dcterms:modified xsi:type="dcterms:W3CDTF">2023-05-11T22:07:00Z</dcterms:modified>
</cp:coreProperties>
</file>