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B234" w14:textId="50F93C23" w:rsidR="000B63F5" w:rsidRPr="000B63F5" w:rsidRDefault="000B63F5" w:rsidP="00AB442A">
      <w:pPr>
        <w:pStyle w:val="Ttulo2"/>
        <w:tabs>
          <w:tab w:val="left" w:pos="7695"/>
        </w:tabs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</w:rPr>
        <w:t>1</w:t>
      </w:r>
      <w:r w:rsidRPr="000B6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>. Introdução</w:t>
      </w:r>
      <w:r w:rsidR="00B90B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ab/>
      </w:r>
    </w:p>
    <w:p w14:paraId="16F34E5C" w14:textId="04EEE812" w:rsidR="000B63F5" w:rsidRPr="000B63F5" w:rsidRDefault="000B63F5" w:rsidP="00AB442A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objetivo deste documento, fundamentado na norma de referência: ABNT NBR 14724:2018, é auxiliar os autores sobre o formato a ser utilizado nos artigos submetidos ao ENEGEP 202</w:t>
      </w:r>
      <w:r w:rsidR="00AB442A">
        <w:rPr>
          <w:color w:val="333333"/>
          <w:sz w:val="24"/>
          <w:szCs w:val="24"/>
          <w:lang w:val="pt-BR" w:eastAsia="pt-BR" w:bidi="ar-SA"/>
        </w:rPr>
        <w:t>2</w:t>
      </w:r>
      <w:r w:rsidRPr="000B63F5">
        <w:rPr>
          <w:color w:val="333333"/>
          <w:sz w:val="24"/>
          <w:szCs w:val="24"/>
          <w:lang w:val="pt-BR" w:eastAsia="pt-BR" w:bidi="ar-SA"/>
        </w:rPr>
        <w:t>. Este documento está escrito de acordo com o modelo indicado para os artigos, assim, serve de referência, ao mesmo tempo em que comenta os diversos aspectos da formatação. Houve</w:t>
      </w:r>
      <w:r w:rsidR="00B90B41">
        <w:rPr>
          <w:color w:val="333333"/>
          <w:sz w:val="24"/>
          <w:szCs w:val="24"/>
          <w:lang w:val="pt-BR" w:eastAsia="pt-BR" w:bidi="ar-SA"/>
        </w:rPr>
        <w:t>ram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pequenas modificações em seu formato</w:t>
      </w:r>
      <w:r w:rsidR="00AB442A">
        <w:rPr>
          <w:color w:val="333333"/>
          <w:sz w:val="24"/>
          <w:szCs w:val="24"/>
          <w:lang w:val="pt-BR" w:eastAsia="pt-BR" w:bidi="ar-SA"/>
        </w:rPr>
        <w:t xml:space="preserve"> esse ano</w:t>
      </w:r>
      <w:r w:rsidRPr="000B63F5">
        <w:rPr>
          <w:color w:val="333333"/>
          <w:sz w:val="24"/>
          <w:szCs w:val="24"/>
          <w:lang w:val="pt-BR" w:eastAsia="pt-BR" w:bidi="ar-SA"/>
        </w:rPr>
        <w:t>, portanto sugere-se sua leitura atenta.</w:t>
      </w:r>
    </w:p>
    <w:p w14:paraId="0F11CE4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Observe as instruções e formate seu artigo de acordo com este padrão. Recomenda-se, para isso, o uso dos estilos de formatação pré-definidos que constam deste documento. Para tanto, basta copiar e colar os textos do original diretamente em uma cópia deste documento.</w:t>
      </w:r>
    </w:p>
    <w:p w14:paraId="39225B3F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Lembre-se que uma formatação correta é essencial para uma boa avaliação do seu trabalho. Artigos fora da formatação serão retirados do processo de avaliação.</w:t>
      </w:r>
    </w:p>
    <w:p w14:paraId="76134C3C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5D609D85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2. Formatação geral</w:t>
      </w:r>
    </w:p>
    <w:p w14:paraId="5E87DDBE" w14:textId="4501D5B8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Este texto apresenta apenas o corpo do artigo. Portanto, ele não deve conter Título, Autores, Resumo e Palavras-chave. Esses elementos </w:t>
      </w:r>
      <w:r w:rsidR="00AB442A">
        <w:rPr>
          <w:color w:val="333333"/>
          <w:sz w:val="24"/>
          <w:szCs w:val="24"/>
          <w:lang w:val="pt-BR" w:eastAsia="pt-BR" w:bidi="ar-SA"/>
        </w:rPr>
        <w:t>deverão ser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inseridos </w:t>
      </w:r>
      <w:r w:rsidR="00AB442A">
        <w:rPr>
          <w:color w:val="333333"/>
          <w:sz w:val="24"/>
          <w:szCs w:val="24"/>
          <w:lang w:val="pt-BR" w:eastAsia="pt-BR" w:bidi="ar-SA"/>
        </w:rPr>
        <w:t>no arquivo chamado capa, que será submetido conjuntamente.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Os dados de autoria do arquivo devem estar em branco</w:t>
      </w:r>
      <w:r w:rsidR="00AB442A">
        <w:rPr>
          <w:color w:val="333333"/>
          <w:sz w:val="24"/>
          <w:szCs w:val="24"/>
          <w:lang w:val="pt-BR" w:eastAsia="pt-BR" w:bidi="ar-SA"/>
        </w:rPr>
        <w:t xml:space="preserve"> (ao salvar o documento em PDF)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. O </w:t>
      </w:r>
      <w:r w:rsidR="00B76A43">
        <w:rPr>
          <w:color w:val="333333"/>
          <w:sz w:val="24"/>
          <w:szCs w:val="24"/>
          <w:lang w:val="pt-BR" w:eastAsia="pt-BR" w:bidi="ar-SA"/>
        </w:rPr>
        <w:t>corpo do art</w:t>
      </w:r>
      <w:r w:rsidRPr="000B63F5">
        <w:rPr>
          <w:color w:val="333333"/>
          <w:sz w:val="24"/>
          <w:szCs w:val="24"/>
          <w:lang w:val="pt-BR" w:eastAsia="pt-BR" w:bidi="ar-SA"/>
        </w:rPr>
        <w:t>igo</w:t>
      </w:r>
      <w:r w:rsidR="00B76A43">
        <w:rPr>
          <w:color w:val="333333"/>
          <w:sz w:val="24"/>
          <w:szCs w:val="24"/>
          <w:lang w:val="pt-BR" w:eastAsia="pt-BR" w:bidi="ar-SA"/>
        </w:rPr>
        <w:t xml:space="preserve"> deve conter de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</w:t>
      </w:r>
      <w:r w:rsidR="00B76A43" w:rsidRPr="00B76A43">
        <w:rPr>
          <w:color w:val="333333"/>
          <w:sz w:val="24"/>
          <w:szCs w:val="24"/>
          <w:lang w:val="pt-BR" w:eastAsia="pt-BR" w:bidi="ar-SA"/>
        </w:rPr>
        <w:t>8 a 14 páginas, inclusive contando com as referências</w:t>
      </w:r>
      <w:r w:rsidRPr="000B63F5">
        <w:rPr>
          <w:color w:val="333333"/>
          <w:sz w:val="24"/>
          <w:szCs w:val="24"/>
          <w:lang w:val="pt-BR" w:eastAsia="pt-BR" w:bidi="ar-SA"/>
        </w:rPr>
        <w:t>. Tabelas poderão ser tratadas como figuras, para não contar palavras, mas a qualidade das mesmas é de sua responsabilidade. Procure tratar imagens e tabelas para que estas não deixem seu arquivo muito grande.</w:t>
      </w:r>
    </w:p>
    <w:p w14:paraId="1D52A77B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margens devem ser: superior e inferior de 1,2 cm e direita e esquerda de 2,5 cm. O tamanho de página deve ser A4, impreterivelmente. Por favor, verifique esse aspecto com especial cuidado.</w:t>
      </w:r>
    </w:p>
    <w:p w14:paraId="06EFCAEA" w14:textId="3DA1B58C" w:rsidR="000B63F5" w:rsidRPr="000B63F5" w:rsidRDefault="00B90B41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O corpo do artigo deverá ser submetido em sua versão final, sendo assim, lembre-se de manter as informações de cabeçalho e salvar em </w:t>
      </w:r>
      <w:r w:rsidR="00B76A43">
        <w:rPr>
          <w:color w:val="333333"/>
          <w:sz w:val="24"/>
          <w:szCs w:val="24"/>
          <w:lang w:val="pt-BR" w:eastAsia="pt-BR" w:bidi="ar-SA"/>
        </w:rPr>
        <w:t>PDF</w:t>
      </w:r>
      <w:r>
        <w:rPr>
          <w:color w:val="333333"/>
          <w:sz w:val="24"/>
          <w:szCs w:val="24"/>
          <w:lang w:val="pt-BR" w:eastAsia="pt-BR" w:bidi="ar-SA"/>
        </w:rPr>
        <w:t xml:space="preserve"> no final. Não serão permitidas alterações após o prazo de submissão ter se encerrado.</w:t>
      </w:r>
      <w:r w:rsidR="000B63F5" w:rsidRPr="000B63F5">
        <w:rPr>
          <w:color w:val="333333"/>
          <w:sz w:val="24"/>
          <w:szCs w:val="24"/>
          <w:lang w:val="pt-BR" w:eastAsia="pt-BR" w:bidi="ar-SA"/>
        </w:rPr>
        <w:t xml:space="preserve"> Na sequência, passo a passo, serão especificados os detalhes da formatação.</w:t>
      </w:r>
    </w:p>
    <w:p w14:paraId="3848337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Atenção: Palavras de língua estrangeira devem ser escritas em itálico. </w:t>
      </w:r>
    </w:p>
    <w:p w14:paraId="44EA7E5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0"/>
          <w:szCs w:val="20"/>
          <w:lang w:val="pt-BR" w:eastAsia="pt-BR" w:bidi="ar-SA"/>
        </w:rPr>
      </w:pPr>
    </w:p>
    <w:p w14:paraId="72FDDF5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3. Títulos das seções</w:t>
      </w:r>
    </w:p>
    <w:p w14:paraId="106D0F1B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Os títulos das seções do trabalho devem ser posicionados à esquerda, em negrito, numerados com algarismos arábicos (1, 2, 3, etc.) e somente com a primeira inicial maiúscula. Deve-se utilizar texto com fonte Times New Roman, tamanho 12, </w:t>
      </w:r>
      <w:smartTag w:uri="urn:schemas-microsoft-com:office:smarttags" w:element="PersonName">
        <w:smartTagPr>
          <w:attr w:name="ProductID" w:val="em negrito. N￣o"/>
        </w:smartTagPr>
        <w:r w:rsidRPr="000B63F5">
          <w:rPr>
            <w:color w:val="333333"/>
            <w:sz w:val="24"/>
            <w:szCs w:val="24"/>
            <w:lang w:val="pt-BR" w:eastAsia="pt-BR" w:bidi="ar-SA"/>
          </w:rPr>
          <w:t>em negrito. Não</w:t>
        </w:r>
      </w:smartTag>
      <w:r w:rsidRPr="000B63F5">
        <w:rPr>
          <w:color w:val="333333"/>
          <w:sz w:val="24"/>
          <w:szCs w:val="24"/>
          <w:lang w:val="pt-BR" w:eastAsia="pt-BR" w:bidi="ar-SA"/>
        </w:rPr>
        <w:t xml:space="preserve"> coloque ponto final </w:t>
      </w: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>nos títulos. Entre os títulos deve-se inserir uma linha em branco mantida a formação de espaçamento 1,5 entre as linhas.</w:t>
      </w:r>
    </w:p>
    <w:p w14:paraId="42E928D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05D0BC7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  <w:lang w:val="pt-BR" w:eastAsia="pt-BR" w:bidi="ar-SA"/>
        </w:rPr>
        <w:t>3.1. Subtítulos das seções</w:t>
      </w:r>
    </w:p>
    <w:p w14:paraId="33DBCEF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subtítulos das seções do trabalho devem ser posicionados à esquerda, em negrito, numerados com algarismos arábicos em subtítulos (1.1, 1.2, 1.3, etc.) e somente com a primeira inicial maiúscula. Deve-se utilizar texto com fonte Times New Roman, tamanho 12, em negrito. Entre os subtítulos das seções não se insere nenhuma linha em branco, sendo mantida a formação de espaçamento 1,5 entre o parágrafo anterior e posterior ao subtítulo.</w:t>
      </w:r>
    </w:p>
    <w:p w14:paraId="129FC57B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1667BAC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b/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  <w:lang w:val="pt-BR" w:eastAsia="pt-BR" w:bidi="ar-SA"/>
        </w:rPr>
        <w:t>4. Corpo do texto</w:t>
      </w:r>
    </w:p>
    <w:p w14:paraId="2476306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corpo do texto deve iniciar imediatamente abaixo do título ou subtítulo das sessões. O corpo de texto utiliza fonte tipo Times New Roman, tamanho 12, justificado na direita e esquerda, com espaçamento 1,5 entre as linhas e parágrafos.</w:t>
      </w:r>
    </w:p>
    <w:p w14:paraId="652AADE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Notas de rodapé: não devem ser utilizadas notas de rodapé.</w:t>
      </w:r>
    </w:p>
    <w:p w14:paraId="315EB81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 caso do uso de listas, deve-se usar o marcador que aparece a seguir:</w:t>
      </w:r>
    </w:p>
    <w:p w14:paraId="19C8E1D0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listas devem ser justificadas na direita e na esquerda, da mesma maneira que os trechos de corpo de texto;</w:t>
      </w:r>
    </w:p>
    <w:p w14:paraId="4A8B966B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Use ponto-e-vírgula para separar os itens de uma lista, exceto no último item que deve possuir um ponto final;</w:t>
      </w:r>
    </w:p>
    <w:p w14:paraId="68166701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Caso se utilize uma lista deve-se manter o com espaçamento 1,5 entre as linhas;</w:t>
      </w:r>
    </w:p>
    <w:p w14:paraId="3E7A6CED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estilo "Lista" pode ser usado para que a formatação pré-definida seja corretamente empregada.</w:t>
      </w:r>
    </w:p>
    <w:p w14:paraId="79B1989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É possível, também, o uso de alíneas, que obedecem às seguintes indicações:</w:t>
      </w:r>
    </w:p>
    <w:p w14:paraId="2D37A030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Cada item de alínea deve ser ordenado alfabeticamente por letras minúsculas seguidas de parênteses, como neste exemplo;</w:t>
      </w:r>
    </w:p>
    <w:p w14:paraId="4A092847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Use ponto-e-vírgula para separar as alíneas, exceto no último item que deve possuir um ponto final;</w:t>
      </w:r>
    </w:p>
    <w:p w14:paraId="5C5B19A3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 lista de alíneas mantém o espaçamento 1,5 entre as linhas; </w:t>
      </w:r>
    </w:p>
    <w:p w14:paraId="2DF366FF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estilo "Alínea" constante deste documento pode ser usado para a aplicação automática da formatação correta de alíneas.</w:t>
      </w:r>
    </w:p>
    <w:p w14:paraId="6DC303E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 caso de nova lista de alíneas, a lista alfabética deve ser reiniciada. Veja em seu editor como fazer isso:</w:t>
      </w:r>
    </w:p>
    <w:p w14:paraId="6D788DE7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>Uma nova alínea, assim, recomeça a partir da letra a);</w:t>
      </w:r>
    </w:p>
    <w:p w14:paraId="44E8B58D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itens de alínea são separados entre si por ponto-e-vírgula;</w:t>
      </w:r>
    </w:p>
    <w:p w14:paraId="2E89CBF3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último item de alínea pode terminar com ponto, dependendo de como segue a escrita do texto.</w:t>
      </w:r>
    </w:p>
    <w:p w14:paraId="7761E810" w14:textId="77777777" w:rsidR="000B63F5" w:rsidRPr="000B63F5" w:rsidRDefault="000B63F5" w:rsidP="000B63F5">
      <w:pPr>
        <w:widowControl/>
        <w:autoSpaceDE/>
        <w:autoSpaceDN/>
        <w:spacing w:line="360" w:lineRule="auto"/>
        <w:ind w:left="720"/>
        <w:jc w:val="both"/>
        <w:rPr>
          <w:color w:val="333333"/>
          <w:sz w:val="24"/>
          <w:szCs w:val="24"/>
          <w:lang w:val="pt-BR" w:eastAsia="pt-BR" w:bidi="ar-SA"/>
        </w:rPr>
      </w:pPr>
    </w:p>
    <w:p w14:paraId="0210B643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strike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5. Formatação de ilustrações</w:t>
      </w:r>
    </w:p>
    <w:p w14:paraId="562CD2F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As ilustrações devem possuir títulos (cabeçalhos) localizados na parte superior antecedidos da palavra que o designa (tabela, figura, esquema, fluxograma, imagem, etc.), seguidos do número de ordem de ocorrência no texto, em algarismos arábicos e travessão, que serve para separação do título. </w:t>
      </w:r>
    </w:p>
    <w:p w14:paraId="10A681DD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título da tabela deve indicar a natureza e abrangência geográfica e temporal dos dados numéricos, não deve conter abreviações, apenas descrição por extenso de forma clara e objetiva.</w:t>
      </w:r>
    </w:p>
    <w:p w14:paraId="5ED0B8E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fontes consultadas são obrigatórias, mesmo que seja de produção do próprio autor, devem estar localizadas na parte inferior contendo notas e outras informações necessárias à sua compreensão (caso aplicável).</w:t>
      </w:r>
    </w:p>
    <w:p w14:paraId="08514F0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Essas ilustrações, bem como seus respectivos títulos e fontes consultadas, devem ser centralizadas na página (ver exemplos da Figura 1 e Tabela 1). Deve-se utilizar fonte Times New Roman, tamanho 10, centralizada e não levam ponto final. Use, para isso, os estilos sugeridos "Figura" ou "Tabela" conforme descritos abaixo. Mantendo-se o espaçamento de 1,5 linhas. </w:t>
      </w:r>
    </w:p>
    <w:p w14:paraId="3252923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Importante: as ilustrações devem ser chamadas com as suas numerações no texto e deve ser evitado o uso de objetos "flutuando sobre o texto". Em vez disso, as ilustrações devem ser inseridas "alinhadas com o texto". Veja em seu editor de textos como fazer isso.</w:t>
      </w:r>
    </w:p>
    <w:p w14:paraId="7FB503B5" w14:textId="77777777"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14:paraId="19159F96" w14:textId="77777777" w:rsidR="000B63F5" w:rsidRPr="000B63F5" w:rsidRDefault="000B63F5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color w:val="333333"/>
          <w:sz w:val="20"/>
          <w:szCs w:val="20"/>
          <w:lang w:val="pt-BR" w:eastAsia="pt-BR" w:bidi="ar-SA"/>
        </w:rPr>
        <w:t>Figura 1 - Exemplo de figura</w:t>
      </w:r>
    </w:p>
    <w:p w14:paraId="6D97F815" w14:textId="77777777" w:rsidR="000B63F5" w:rsidRPr="000B63F5" w:rsidRDefault="000B63F5" w:rsidP="000B63F5">
      <w:pPr>
        <w:widowControl/>
        <w:autoSpaceDE/>
        <w:autoSpaceDN/>
        <w:spacing w:line="360" w:lineRule="auto"/>
        <w:ind w:left="318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noProof/>
          <w:color w:val="333333"/>
          <w:sz w:val="20"/>
          <w:szCs w:val="20"/>
          <w:lang w:val="pt-BR" w:eastAsia="pt-BR" w:bidi="ar-SA"/>
        </w:rPr>
        <w:drawing>
          <wp:inline distT="0" distB="0" distL="0" distR="0" wp14:anchorId="25C5BEC3" wp14:editId="2E3414B6">
            <wp:extent cx="4133850" cy="1666875"/>
            <wp:effectExtent l="19050" t="0" r="0" b="0"/>
            <wp:docPr id="6" name="Imagem 6" descr="graph_model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_model_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3F5">
        <w:rPr>
          <w:color w:val="333333"/>
          <w:sz w:val="20"/>
          <w:szCs w:val="20"/>
          <w:lang w:val="pt-BR" w:eastAsia="pt-BR" w:bidi="ar-SA"/>
        </w:rPr>
        <w:br/>
        <w:t xml:space="preserve">Fonte: Adaptado de Mays </w:t>
      </w:r>
      <w:r w:rsidRPr="000B63F5">
        <w:rPr>
          <w:i/>
          <w:color w:val="333333"/>
          <w:sz w:val="20"/>
          <w:szCs w:val="20"/>
          <w:lang w:val="pt-BR" w:eastAsia="pt-BR" w:bidi="ar-SA"/>
        </w:rPr>
        <w:t xml:space="preserve">apud </w:t>
      </w:r>
      <w:r w:rsidRPr="000B63F5">
        <w:rPr>
          <w:color w:val="333333"/>
          <w:sz w:val="20"/>
          <w:szCs w:val="20"/>
          <w:lang w:val="pt-BR" w:eastAsia="pt-BR" w:bidi="ar-SA"/>
        </w:rPr>
        <w:t>Greenhalg (1997)</w:t>
      </w:r>
    </w:p>
    <w:p w14:paraId="7A153F7A" w14:textId="77777777" w:rsidR="000B63F5" w:rsidRPr="000B63F5" w:rsidRDefault="000B63F5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</w:p>
    <w:p w14:paraId="1C312348" w14:textId="77777777" w:rsidR="000B63F5" w:rsidRPr="000B63F5" w:rsidRDefault="000B63F5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color w:val="333333"/>
          <w:sz w:val="20"/>
          <w:szCs w:val="20"/>
          <w:lang w:val="pt-BR" w:eastAsia="pt-BR" w:bidi="ar-SA"/>
        </w:rPr>
        <w:lastRenderedPageBreak/>
        <w:t>Tabela 1 -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0B63F5" w:rsidRPr="000B63F5" w14:paraId="5AEB86C8" w14:textId="77777777" w:rsidTr="00D125F3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2353A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4D06F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11B8C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Percentual</w:t>
            </w:r>
          </w:p>
        </w:tc>
      </w:tr>
      <w:tr w:rsidR="000B63F5" w:rsidRPr="000B63F5" w14:paraId="5E584A6E" w14:textId="77777777" w:rsidTr="00D125F3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E9FA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02403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2461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7,9%</w:t>
            </w:r>
          </w:p>
        </w:tc>
      </w:tr>
      <w:tr w:rsidR="000B63F5" w:rsidRPr="000B63F5" w14:paraId="5896A893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48E1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Método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4E7A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8050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12,3%</w:t>
            </w:r>
          </w:p>
        </w:tc>
      </w:tr>
      <w:tr w:rsidR="000B63F5" w:rsidRPr="000B63F5" w14:paraId="550B8C80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FBFA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Questão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860D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8DD3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19,5%</w:t>
            </w:r>
          </w:p>
        </w:tc>
      </w:tr>
      <w:tr w:rsidR="000B63F5" w:rsidRPr="000B63F5" w14:paraId="6E1D5057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FE91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Raciocínio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C203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AD5E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44,8%</w:t>
            </w:r>
          </w:p>
        </w:tc>
      </w:tr>
      <w:tr w:rsidR="000B63F5" w:rsidRPr="000B63F5" w14:paraId="79A5B7A6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0DBE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Método de amostragem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C20D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4CAD2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11,9%</w:t>
            </w:r>
          </w:p>
        </w:tc>
      </w:tr>
      <w:tr w:rsidR="000B63F5" w:rsidRPr="000B63F5" w14:paraId="6E8398DF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834194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Força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777C8B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8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95C21A5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3,6%</w:t>
            </w:r>
          </w:p>
        </w:tc>
      </w:tr>
    </w:tbl>
    <w:p w14:paraId="498C8C5C" w14:textId="77777777" w:rsidR="000B63F5" w:rsidRPr="000B63F5" w:rsidRDefault="000B63F5" w:rsidP="000B63F5">
      <w:pPr>
        <w:widowControl/>
        <w:autoSpaceDE/>
        <w:autoSpaceDN/>
        <w:spacing w:line="360" w:lineRule="auto"/>
        <w:jc w:val="center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Fonte: Adaptado de Mays </w:t>
      </w:r>
      <w:r w:rsidRPr="000B63F5">
        <w:rPr>
          <w:bCs/>
          <w:i/>
          <w:color w:val="333333"/>
          <w:sz w:val="20"/>
          <w:szCs w:val="20"/>
          <w:lang w:val="pt-BR" w:eastAsia="pt-BR" w:bidi="ar-SA"/>
        </w:rPr>
        <w:t xml:space="preserve">apud 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Greenhalg (1997)</w:t>
      </w:r>
    </w:p>
    <w:p w14:paraId="2FF18E3F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60EAE525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6. Submissão e classificação dos artigos</w:t>
      </w:r>
    </w:p>
    <w:p w14:paraId="2E65A99D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Os artigos podem ser submetidos em português, espanhol e inglês. </w:t>
      </w:r>
    </w:p>
    <w:p w14:paraId="0D28B877" w14:textId="4EE075EC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Se respeitados os limites apresentados na seção 2, serão considerados como propostos para o XL</w:t>
      </w:r>
      <w:r w:rsidR="00B76A43">
        <w:rPr>
          <w:color w:val="333333"/>
          <w:sz w:val="24"/>
          <w:szCs w:val="24"/>
          <w:lang w:val="pt-BR" w:eastAsia="pt-BR" w:bidi="ar-SA"/>
        </w:rPr>
        <w:t>II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ENEGEP e seguirão, portanto, o seu processo de avaliação. Os artigos aprovados serão publicados nos Anais do evento.</w:t>
      </w:r>
    </w:p>
    <w:p w14:paraId="6E396B3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É importante salientar que poderá ser enviado um número ilimitado de artigos, porém no máximo 6 (seis) artigos poderão ser aprovados por autor (não importando em qual relação de autoria), valendo os artigos de pontuação mais alta. Vale ressaltar que, considerando-se que artigos de WPG serão elaborados por pesquisadores sênior, a nota de corte e o rigor de avaliação podem ser maiores.</w:t>
      </w:r>
    </w:p>
    <w:p w14:paraId="2BD23F5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3BD404D5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7. Agradecimentos</w:t>
      </w:r>
    </w:p>
    <w:p w14:paraId="4FCA2343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Podem ser inseridos tanto no início do texto quando logo antes das referências bibliográficas. Devido a regra que impossibilita alterações em artigos já submetidos após findo o processo de submissão, sugerimos que possíveis apoios a serem recebidos já sejam inseridos no corpo do artigo no momento da submissão. </w:t>
      </w:r>
    </w:p>
    <w:p w14:paraId="18B7B0E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5A0A9FE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8. Citações e formatação das referências</w:t>
      </w:r>
    </w:p>
    <w:p w14:paraId="64A44E4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De acordo com Fulano (2011), citar corretamente a literatura é muito importante. </w:t>
      </w:r>
    </w:p>
    <w:p w14:paraId="0E5C0E4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 citação de autores ao longo do texto é feita em letras minúsculas, enquanto que a citação de autores entre parêntese ao final do parágrafo deve ser feita em letra maiúscula.</w:t>
      </w:r>
    </w:p>
    <w:p w14:paraId="7C9D7A4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Citar trechos de trabalhos de outros autores, sem referenciar adequadamente, pode ser enquadrado como plágio (FULANO; BELTRANO, 2012).</w:t>
      </w:r>
    </w:p>
    <w:p w14:paraId="40683175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>Para as referências, ao final do artigo, deve-se utilizar texto com fonte Times New Roman, tamanho 10, espaçamento 1,5 entre as linhas, sendo as referências separadas por uma linha em branco, exatamente conforme aparece nas referências aleatórias incluídas a seguir. Diferentemente deste exemplo ilustrativo, somente autores usados no texto devem ser citados nas referências e as referências devem conter todos os autores citados no texto.</w:t>
      </w:r>
    </w:p>
    <w:p w14:paraId="783E3C87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As referências devem aparecer em ordem alfabética e não devem ser numeradas. Todas as referências citadas no texto, e apenas estas, devem ser incluídas ao final, na seção Referências. </w:t>
      </w:r>
    </w:p>
    <w:p w14:paraId="06A4FDE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02AC7DE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REFERÊNCIAS</w:t>
      </w:r>
    </w:p>
    <w:p w14:paraId="2E65CBC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As referências são alinhadas somente à margem esquerda do texto e de forma a identificar o documento, separadas por separadas entre si mantendo o espaçamento 1,5 entre as linhas.</w:t>
      </w:r>
    </w:p>
    <w:p w14:paraId="12464246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AZEVEDO, Dermi. Sarney Convida Igrejas Cristãs para Diálogo sobre o Pacto.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 Folha de São Paulo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, São Paulo, 22 out. 1985. Caderno econômico, p. 13.</w:t>
      </w:r>
    </w:p>
    <w:p w14:paraId="2C69206B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580D6A0F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OTT, Margot Bertolucci. </w:t>
      </w:r>
      <w:r w:rsidRPr="000B63F5">
        <w:rPr>
          <w:b/>
          <w:color w:val="333333"/>
          <w:sz w:val="20"/>
          <w:szCs w:val="20"/>
          <w:lang w:val="pt-BR" w:eastAsia="pt-BR" w:bidi="ar-SA"/>
        </w:rPr>
        <w:t>T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endências Ideológicas no Ensino de Primeiro Grau.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Porto Alegre: UFRGS, 1983. 214 p. Tese (Doutorado) – Programa de Pós-Graduação em Educação, Faculdade de Educação, Universidade Federal do Rio Grande do Sul, Porto Alegre, 1983.</w:t>
      </w:r>
    </w:p>
    <w:p w14:paraId="15AA9C57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4D3C75BE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MELLO, Luiz Antonio.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A Onda Maldita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: como nasceu a Fluminense FM. Niterói: Arte &amp; Ofício, 1992. Disponível em: &lt;http://www.actech.com.br/aondamaldita/ creditos.html&gt; Acesso em: 13 out. 1997.</w:t>
      </w:r>
    </w:p>
    <w:p w14:paraId="237DE672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2FFE76E3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SCHWARTZMAN, Simon. Como a Universidade Está se Pensando? In: PEREIRA, Antonio Gomes (Org.).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Para Onde Vai a Universidade Basileira?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Fortaleza: UFC, 1983. p. 29-45.</w:t>
      </w:r>
    </w:p>
    <w:p w14:paraId="5023A347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023BB935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SAVIANI, Demerval. A Universidade e a Problemática da Educação e Cultura.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Educação Brasileira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, Brasília, v. 1, n. 3, p. 35-58, maio/ago. 1979.</w:t>
      </w:r>
    </w:p>
    <w:p w14:paraId="483CD4A2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60B6356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ANEXO</w:t>
      </w:r>
    </w:p>
    <w:p w14:paraId="492B8623" w14:textId="35D9A922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anexos devem vir ao final do trabalho</w:t>
      </w:r>
      <w:r w:rsidR="00B76A43">
        <w:rPr>
          <w:color w:val="333333"/>
          <w:sz w:val="24"/>
          <w:szCs w:val="24"/>
          <w:lang w:val="pt-BR" w:eastAsia="pt-BR" w:bidi="ar-SA"/>
        </w:rPr>
        <w:t xml:space="preserve"> e deverão ser contabilizados entre as 14 páginas máximas que o trabalho pode ter.</w:t>
      </w:r>
    </w:p>
    <w:sectPr w:rsidR="000B63F5" w:rsidRPr="000B63F5" w:rsidSect="00820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418" w:bottom="953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3A80" w14:textId="77777777" w:rsidR="00AE45BD" w:rsidRDefault="00AE45BD">
      <w:r>
        <w:separator/>
      </w:r>
    </w:p>
  </w:endnote>
  <w:endnote w:type="continuationSeparator" w:id="0">
    <w:p w14:paraId="20252523" w14:textId="77777777" w:rsidR="00AE45BD" w:rsidRDefault="00AE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5D0D" w14:textId="77777777" w:rsidR="00B221EB" w:rsidRDefault="00B221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403647"/>
      <w:docPartObj>
        <w:docPartGallery w:val="Page Numbers (Bottom of Page)"/>
        <w:docPartUnique/>
      </w:docPartObj>
    </w:sdtPr>
    <w:sdtEndPr/>
    <w:sdtContent>
      <w:p w14:paraId="46BE7505" w14:textId="77777777" w:rsidR="00820EE4" w:rsidRDefault="00820E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42">
          <w:rPr>
            <w:noProof/>
          </w:rPr>
          <w:t>2</w:t>
        </w:r>
        <w:r>
          <w:fldChar w:fldCharType="end"/>
        </w:r>
      </w:p>
    </w:sdtContent>
  </w:sdt>
  <w:p w14:paraId="139C2380" w14:textId="77777777" w:rsidR="00187BBD" w:rsidRDefault="00AE45BD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B03F" w14:textId="77777777" w:rsidR="00B221EB" w:rsidRDefault="00B221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D138" w14:textId="77777777" w:rsidR="00AE45BD" w:rsidRDefault="00AE45BD">
      <w:r>
        <w:separator/>
      </w:r>
    </w:p>
  </w:footnote>
  <w:footnote w:type="continuationSeparator" w:id="0">
    <w:p w14:paraId="1BEF1C65" w14:textId="77777777" w:rsidR="00AE45BD" w:rsidRDefault="00AE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92BF" w14:textId="77777777" w:rsidR="00B221EB" w:rsidRDefault="00B221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6423" w14:textId="77777777" w:rsidR="00B221EB" w:rsidRPr="00B221EB" w:rsidRDefault="00B221EB" w:rsidP="00B221EB">
    <w:pPr>
      <w:spacing w:before="72" w:line="185" w:lineRule="exact"/>
      <w:jc w:val="right"/>
      <w:rPr>
        <w:rFonts w:ascii="Trebuchet MS" w:hAnsi="Trebuchet MS"/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3FF01A" wp14:editId="4A2F970D">
          <wp:simplePos x="0" y="0"/>
          <wp:positionH relativeFrom="column">
            <wp:posOffset>-551180</wp:posOffset>
          </wp:positionH>
          <wp:positionV relativeFrom="paragraph">
            <wp:posOffset>-158115</wp:posOffset>
          </wp:positionV>
          <wp:extent cx="755650" cy="594360"/>
          <wp:effectExtent l="0" t="0" r="6350" b="0"/>
          <wp:wrapTight wrapText="bothSides">
            <wp:wrapPolygon edited="0">
              <wp:start x="0" y="0"/>
              <wp:lineTo x="0" y="20769"/>
              <wp:lineTo x="21237" y="20769"/>
              <wp:lineTo x="21237" y="0"/>
              <wp:lineTo x="0" y="0"/>
            </wp:wrapPolygon>
          </wp:wrapTight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B81">
      <w:rPr>
        <w:rFonts w:ascii="Trebuchet MS"/>
        <w:b/>
        <w:sz w:val="16"/>
      </w:rPr>
      <w:tab/>
    </w:r>
    <w:r>
      <w:rPr>
        <w:rFonts w:ascii="Trebuchet MS"/>
        <w:b/>
        <w:sz w:val="16"/>
      </w:rPr>
      <w:t xml:space="preserve">    </w:t>
    </w:r>
    <w:r w:rsidRPr="00B221EB">
      <w:rPr>
        <w:rFonts w:ascii="Trebuchet MS" w:hAnsi="Trebuchet MS"/>
        <w:b/>
        <w:sz w:val="16"/>
      </w:rPr>
      <w:t>XLII ENCONTRO NACIONAL DE ENGENHARIA DE</w:t>
    </w:r>
    <w:r w:rsidRPr="00B221EB">
      <w:rPr>
        <w:rFonts w:ascii="Trebuchet MS" w:hAnsi="Trebuchet MS"/>
        <w:b/>
        <w:spacing w:val="-13"/>
        <w:sz w:val="16"/>
      </w:rPr>
      <w:t xml:space="preserve"> </w:t>
    </w:r>
    <w:r w:rsidRPr="00B221EB">
      <w:rPr>
        <w:rFonts w:ascii="Trebuchet MS" w:hAnsi="Trebuchet MS"/>
        <w:b/>
        <w:sz w:val="16"/>
      </w:rPr>
      <w:t>PRODUÇÃO</w:t>
    </w:r>
  </w:p>
  <w:p w14:paraId="7601BA22" w14:textId="77777777" w:rsidR="00B221EB" w:rsidRDefault="00B221EB" w:rsidP="00B221EB">
    <w:pPr>
      <w:spacing w:line="185" w:lineRule="exact"/>
      <w:ind w:right="102"/>
      <w:jc w:val="right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 </w:t>
    </w:r>
    <w:r w:rsidRPr="0027218C">
      <w:rPr>
        <w:rFonts w:ascii="Trebuchet MS" w:hAnsi="Trebuchet MS"/>
        <w:sz w:val="16"/>
      </w:rPr>
      <w:t>"Contribuição da Engenharia de Produção para a Transformação Digital da Indústria Brasileira"</w:t>
    </w:r>
  </w:p>
  <w:p w14:paraId="5BE05A7C" w14:textId="752A6215" w:rsidR="00B221EB" w:rsidRPr="0040245D" w:rsidRDefault="00B221EB" w:rsidP="00B221EB">
    <w:pPr>
      <w:spacing w:line="185" w:lineRule="exact"/>
      <w:ind w:right="102"/>
      <w:jc w:val="right"/>
      <w:rPr>
        <w:rFonts w:ascii="Trebuchet MS" w:hAnsi="Trebuchet MS" w:cs="Arial"/>
        <w:sz w:val="16"/>
        <w:szCs w:val="18"/>
      </w:rPr>
    </w:pPr>
    <w:r>
      <w:rPr>
        <w:rFonts w:ascii="Trebuchet MS" w:hAnsi="Trebuchet MS" w:cs="Arial"/>
        <w:color w:val="808080"/>
        <w:sz w:val="16"/>
        <w:szCs w:val="18"/>
      </w:rPr>
      <w:t>Foz do Iguaçu</w:t>
    </w:r>
    <w:r w:rsidRPr="0040245D">
      <w:rPr>
        <w:rFonts w:ascii="Trebuchet MS" w:hAnsi="Trebuchet MS" w:cs="Arial"/>
        <w:color w:val="808080"/>
        <w:sz w:val="16"/>
        <w:szCs w:val="18"/>
      </w:rPr>
      <w:t xml:space="preserve">, </w:t>
    </w:r>
    <w:r>
      <w:rPr>
        <w:rFonts w:ascii="Trebuchet MS" w:hAnsi="Trebuchet MS" w:cs="Arial"/>
        <w:color w:val="808080"/>
        <w:sz w:val="16"/>
        <w:szCs w:val="18"/>
      </w:rPr>
      <w:t>Paraná</w:t>
    </w:r>
    <w:r w:rsidRPr="0040245D">
      <w:rPr>
        <w:rFonts w:ascii="Trebuchet MS" w:hAnsi="Trebuchet MS" w:cs="Arial"/>
        <w:color w:val="808080"/>
        <w:sz w:val="16"/>
        <w:szCs w:val="18"/>
      </w:rPr>
      <w:t xml:space="preserve">, Brasil, </w:t>
    </w:r>
    <w:r>
      <w:rPr>
        <w:rFonts w:ascii="Trebuchet MS" w:hAnsi="Trebuchet MS" w:cs="Arial"/>
        <w:color w:val="808080"/>
        <w:sz w:val="16"/>
        <w:szCs w:val="18"/>
      </w:rPr>
      <w:t>04 a 07</w:t>
    </w:r>
    <w:r w:rsidRPr="0040245D">
      <w:rPr>
        <w:rFonts w:ascii="Trebuchet MS" w:hAnsi="Trebuchet MS" w:cs="Arial"/>
        <w:color w:val="808080"/>
        <w:sz w:val="16"/>
        <w:szCs w:val="18"/>
      </w:rPr>
      <w:t xml:space="preserve"> de outubro de 20</w:t>
    </w:r>
    <w:r>
      <w:rPr>
        <w:rFonts w:ascii="Trebuchet MS" w:hAnsi="Trebuchet MS" w:cs="Arial"/>
        <w:color w:val="808080"/>
        <w:sz w:val="16"/>
        <w:szCs w:val="18"/>
      </w:rPr>
      <w:t>22</w:t>
    </w:r>
    <w:r w:rsidRPr="0040245D">
      <w:rPr>
        <w:rFonts w:ascii="Trebuchet MS" w:hAnsi="Trebuchet MS" w:cs="Arial"/>
        <w:color w:val="808080"/>
        <w:sz w:val="16"/>
        <w:szCs w:val="18"/>
      </w:rPr>
      <w:t>.</w:t>
    </w:r>
  </w:p>
  <w:p w14:paraId="6521146A" w14:textId="48FC3DBC" w:rsidR="0040245D" w:rsidRPr="00B221EB" w:rsidRDefault="00C871C5" w:rsidP="00B221EB">
    <w:pPr>
      <w:tabs>
        <w:tab w:val="left" w:pos="210"/>
        <w:tab w:val="right" w:pos="9070"/>
      </w:tabs>
      <w:spacing w:before="72" w:line="185" w:lineRule="exact"/>
      <w:jc w:val="right"/>
      <w:rPr>
        <w:rFonts w:ascii="Trebuchet MS" w:hAnsi="Trebuchet MS" w:cs="Arial"/>
        <w:b/>
        <w:sz w:val="16"/>
        <w:szCs w:val="18"/>
      </w:rPr>
    </w:pPr>
    <w:r>
      <w:rPr>
        <w:rFonts w:ascii="Trebuchet MS" w:hAnsi="Trebuchet MS" w:cs="Arial"/>
        <w:b/>
        <w:sz w:val="16"/>
        <w:szCs w:val="18"/>
      </w:rPr>
      <w:t xml:space="preserve">                                    </w:t>
    </w:r>
    <w:r>
      <w:rPr>
        <w:rFonts w:ascii="Trebuchet MS" w:hAnsi="Trebuchet MS" w:cs="Arial"/>
        <w:b/>
        <w:sz w:val="16"/>
        <w:szCs w:val="18"/>
      </w:rPr>
      <w:tab/>
      <w:t xml:space="preserve">   </w:t>
    </w:r>
  </w:p>
  <w:p w14:paraId="4119231D" w14:textId="77777777" w:rsidR="0040245D" w:rsidRDefault="00AE45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9461" w14:textId="77777777" w:rsidR="00B221EB" w:rsidRDefault="00B221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243"/>
    <w:multiLevelType w:val="multilevel"/>
    <w:tmpl w:val="68E8EE4E"/>
    <w:lvl w:ilvl="0">
      <w:start w:val="1"/>
      <w:numFmt w:val="decimal"/>
      <w:lvlText w:val="%1."/>
      <w:lvlJc w:val="left"/>
      <w:pPr>
        <w:ind w:left="1178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9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8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6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2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35A07F4F"/>
    <w:multiLevelType w:val="hybridMultilevel"/>
    <w:tmpl w:val="A404C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2812"/>
    <w:multiLevelType w:val="hybridMultilevel"/>
    <w:tmpl w:val="06CC0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7233A"/>
    <w:multiLevelType w:val="hybridMultilevel"/>
    <w:tmpl w:val="1BD62E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02"/>
    <w:rsid w:val="00092D9B"/>
    <w:rsid w:val="000B63F5"/>
    <w:rsid w:val="00156D02"/>
    <w:rsid w:val="00284420"/>
    <w:rsid w:val="00314862"/>
    <w:rsid w:val="00437342"/>
    <w:rsid w:val="004A6B45"/>
    <w:rsid w:val="005665B2"/>
    <w:rsid w:val="00694D0A"/>
    <w:rsid w:val="00774227"/>
    <w:rsid w:val="00777B81"/>
    <w:rsid w:val="00820EE4"/>
    <w:rsid w:val="00821702"/>
    <w:rsid w:val="00AB442A"/>
    <w:rsid w:val="00AE45BD"/>
    <w:rsid w:val="00B221EB"/>
    <w:rsid w:val="00B76A43"/>
    <w:rsid w:val="00B90B41"/>
    <w:rsid w:val="00C871C5"/>
    <w:rsid w:val="00F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D1F88A9"/>
  <w15:docId w15:val="{16AC70FF-A288-4DCD-AFFD-66F79F7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78" w:hanging="24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6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8" w:hanging="24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Fontepargpadro"/>
    <w:uiPriority w:val="99"/>
    <w:unhideWhenUsed/>
    <w:rsid w:val="000B63F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B63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rsid w:val="000B63F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B63F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0B63F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0B63F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figura">
    <w:name w:val="figura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character" w:styleId="Forte">
    <w:name w:val="Strong"/>
    <w:uiPriority w:val="22"/>
    <w:qFormat/>
    <w:rsid w:val="000B63F5"/>
    <w:rPr>
      <w:b/>
      <w:bCs/>
    </w:rPr>
  </w:style>
  <w:style w:type="paragraph" w:customStyle="1" w:styleId="tabelacabealho">
    <w:name w:val="tabelacabealho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paragraph" w:customStyle="1" w:styleId="tabelacorpo">
    <w:name w:val="tabelacorpo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character" w:styleId="Nmerodelinha">
    <w:name w:val="line number"/>
    <w:basedOn w:val="Fontepargpadro"/>
    <w:uiPriority w:val="99"/>
    <w:semiHidden/>
    <w:unhideWhenUsed/>
    <w:rsid w:val="0082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1486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>Resumo</dc:subject>
  <dc:creator>Mathias</dc:creator>
  <cp:lastModifiedBy>GabiVSO olivato</cp:lastModifiedBy>
  <cp:revision>10</cp:revision>
  <dcterms:created xsi:type="dcterms:W3CDTF">2020-02-20T16:53:00Z</dcterms:created>
  <dcterms:modified xsi:type="dcterms:W3CDTF">2022-01-24T14:18:00Z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