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231D8" w14:textId="77777777" w:rsidR="00B1549C" w:rsidRDefault="00B1549C" w:rsidP="00B1549C">
      <w:pPr>
        <w:pStyle w:val="Ttulo"/>
      </w:pPr>
      <w:r>
        <w:t>Faculdade de Direito da Universidade de São Paulo</w:t>
      </w:r>
    </w:p>
    <w:p w14:paraId="62CF2A19" w14:textId="5209C4F6" w:rsidR="00B1549C" w:rsidRPr="000A0F62" w:rsidRDefault="00B1549C" w:rsidP="00B1549C">
      <w:pPr>
        <w:spacing w:before="120" w:after="120" w:line="240" w:lineRule="atLeast"/>
        <w:jc w:val="center"/>
        <w:rPr>
          <w:b/>
        </w:rPr>
      </w:pPr>
      <w:r>
        <w:rPr>
          <w:rStyle w:val="txtarial10ptblack"/>
          <w:b/>
          <w:bCs/>
          <w:color w:val="000000"/>
        </w:rPr>
        <w:t>DPP 0</w:t>
      </w:r>
      <w:r w:rsidR="00681D42">
        <w:rPr>
          <w:rStyle w:val="txtarial10ptblack"/>
          <w:b/>
          <w:bCs/>
          <w:color w:val="000000"/>
        </w:rPr>
        <w:t>5</w:t>
      </w:r>
      <w:r>
        <w:rPr>
          <w:rStyle w:val="txtarial10ptblack"/>
          <w:b/>
          <w:bCs/>
          <w:color w:val="000000"/>
        </w:rPr>
        <w:t>2</w:t>
      </w:r>
      <w:r w:rsidR="00681D42">
        <w:rPr>
          <w:rStyle w:val="txtarial10ptblack"/>
          <w:b/>
          <w:bCs/>
          <w:color w:val="000000"/>
        </w:rPr>
        <w:t>9</w:t>
      </w:r>
      <w:r>
        <w:rPr>
          <w:b/>
        </w:rPr>
        <w:t xml:space="preserve"> - Direito Processual Penal </w:t>
      </w:r>
      <w:r w:rsidR="00681D42">
        <w:rPr>
          <w:b/>
        </w:rPr>
        <w:t xml:space="preserve">V </w:t>
      </w:r>
      <w:r>
        <w:rPr>
          <w:b/>
        </w:rPr>
        <w:t xml:space="preserve">– </w:t>
      </w:r>
      <w:r w:rsidR="00681D42">
        <w:rPr>
          <w:b/>
        </w:rPr>
        <w:t xml:space="preserve">Teoria e </w:t>
      </w:r>
      <w:r>
        <w:rPr>
          <w:b/>
        </w:rPr>
        <w:t>Prática dos Recursos</w:t>
      </w:r>
      <w:r w:rsidR="00681D42">
        <w:rPr>
          <w:b/>
        </w:rPr>
        <w:t xml:space="preserve"> Penais</w:t>
      </w:r>
      <w:r>
        <w:rPr>
          <w:b/>
        </w:rPr>
        <w:t xml:space="preserve"> </w:t>
      </w:r>
    </w:p>
    <w:p w14:paraId="324E7B77" w14:textId="77777777" w:rsidR="00681D42" w:rsidRDefault="00681D42" w:rsidP="00B1549C"/>
    <w:p w14:paraId="34C59671" w14:textId="77777777" w:rsidR="00681D42" w:rsidRDefault="00681D42" w:rsidP="00B1549C"/>
    <w:p w14:paraId="408ED9DF" w14:textId="377C6FA3" w:rsidR="00B1549C" w:rsidRDefault="00B1549C" w:rsidP="00B1549C">
      <w:r>
        <w:t xml:space="preserve">Professor: </w:t>
      </w:r>
      <w:r>
        <w:rPr>
          <w:i/>
          <w:iCs/>
        </w:rPr>
        <w:t>Gustavo Badaró</w:t>
      </w:r>
    </w:p>
    <w:p w14:paraId="43492338" w14:textId="77777777" w:rsidR="00B1549C" w:rsidRDefault="00B1549C" w:rsidP="00B1549C">
      <w:pPr>
        <w:pStyle w:val="Ttulo1"/>
        <w:jc w:val="both"/>
        <w:rPr>
          <w:b/>
          <w:bCs/>
          <w:sz w:val="20"/>
        </w:rPr>
      </w:pPr>
    </w:p>
    <w:p w14:paraId="67D8E1B3" w14:textId="77777777" w:rsidR="00B1549C" w:rsidRDefault="00B1549C" w:rsidP="00B1549C">
      <w:pPr>
        <w:pStyle w:val="Ttulo1"/>
        <w:rPr>
          <w:b/>
          <w:bCs/>
          <w:sz w:val="24"/>
        </w:rPr>
      </w:pPr>
      <w:r>
        <w:rPr>
          <w:b/>
          <w:bCs/>
          <w:sz w:val="24"/>
        </w:rPr>
        <w:t>ATIVIDADE PRÁTICA</w:t>
      </w:r>
    </w:p>
    <w:p w14:paraId="06577F60" w14:textId="77777777" w:rsidR="00B1549C" w:rsidRDefault="00B1549C" w:rsidP="00B1549C">
      <w:pPr>
        <w:pStyle w:val="NormalWeb"/>
        <w:jc w:val="both"/>
      </w:pPr>
    </w:p>
    <w:p w14:paraId="65BE3634" w14:textId="7033CC44" w:rsidR="00B1549C" w:rsidRPr="009B41E6" w:rsidRDefault="006A06BC" w:rsidP="00B1549C">
      <w:pPr>
        <w:pStyle w:val="NormalWeb"/>
        <w:jc w:val="both"/>
        <w:rPr>
          <w:rFonts w:ascii="Verdana" w:hAnsi="Verdana"/>
          <w:b/>
          <w:sz w:val="20"/>
          <w:szCs w:val="20"/>
        </w:rPr>
      </w:pPr>
      <w:r>
        <w:rPr>
          <w:rFonts w:ascii="Verdana" w:hAnsi="Verdana"/>
          <w:b/>
          <w:sz w:val="20"/>
          <w:szCs w:val="20"/>
        </w:rPr>
        <w:t xml:space="preserve">Caso </w:t>
      </w:r>
      <w:r w:rsidR="00EC458D">
        <w:rPr>
          <w:rFonts w:ascii="Verdana" w:hAnsi="Verdana"/>
          <w:b/>
          <w:sz w:val="20"/>
          <w:szCs w:val="20"/>
        </w:rPr>
        <w:t>4</w:t>
      </w:r>
    </w:p>
    <w:p w14:paraId="1E402FFA" w14:textId="30DD6B81" w:rsidR="00676B11" w:rsidRDefault="00676B11" w:rsidP="00676B11">
      <w:pPr>
        <w:spacing w:line="360" w:lineRule="auto"/>
        <w:ind w:right="142" w:firstLine="851"/>
        <w:jc w:val="both"/>
        <w:rPr>
          <w:rFonts w:ascii="Arial" w:hAnsi="Arial" w:cs="Arial"/>
          <w:sz w:val="20"/>
          <w:szCs w:val="20"/>
        </w:rPr>
      </w:pPr>
      <w:r w:rsidRPr="00D97A9A">
        <w:rPr>
          <w:rFonts w:ascii="Arial" w:hAnsi="Arial" w:cs="Arial"/>
          <w:sz w:val="20"/>
          <w:szCs w:val="20"/>
        </w:rPr>
        <w:t xml:space="preserve">Diogo Almeida, garçom em um conhecido restaurante </w:t>
      </w:r>
      <w:r>
        <w:rPr>
          <w:rFonts w:ascii="Arial" w:hAnsi="Arial" w:cs="Arial"/>
          <w:sz w:val="20"/>
          <w:szCs w:val="20"/>
        </w:rPr>
        <w:t>em São Paulo</w:t>
      </w:r>
      <w:r w:rsidRPr="00D97A9A">
        <w:rPr>
          <w:rFonts w:ascii="Arial" w:hAnsi="Arial" w:cs="Arial"/>
          <w:sz w:val="20"/>
          <w:szCs w:val="20"/>
        </w:rPr>
        <w:t xml:space="preserve">, onde trabalhava já há 12 anos, foi processado pela prática do crime previsto no artigo </w:t>
      </w:r>
      <w:r>
        <w:rPr>
          <w:rFonts w:ascii="Arial" w:hAnsi="Arial" w:cs="Arial"/>
          <w:sz w:val="20"/>
          <w:szCs w:val="20"/>
        </w:rPr>
        <w:t>155</w:t>
      </w:r>
      <w:r w:rsidRPr="00D97A9A">
        <w:rPr>
          <w:rFonts w:ascii="Arial" w:hAnsi="Arial" w:cs="Arial"/>
          <w:sz w:val="20"/>
          <w:szCs w:val="20"/>
        </w:rPr>
        <w:t xml:space="preserve">, </w:t>
      </w:r>
      <w:r>
        <w:rPr>
          <w:rFonts w:ascii="Arial" w:hAnsi="Arial" w:cs="Arial"/>
          <w:sz w:val="20"/>
          <w:szCs w:val="20"/>
        </w:rPr>
        <w:t>caput</w:t>
      </w:r>
      <w:r w:rsidRPr="00D97A9A">
        <w:rPr>
          <w:rFonts w:ascii="Arial" w:hAnsi="Arial" w:cs="Arial"/>
          <w:sz w:val="20"/>
          <w:szCs w:val="20"/>
        </w:rPr>
        <w:t>, do Código Penal.</w:t>
      </w:r>
    </w:p>
    <w:p w14:paraId="1F7D4803" w14:textId="791AE39E" w:rsidR="00676B11" w:rsidRDefault="00676B11" w:rsidP="00676B11">
      <w:pPr>
        <w:spacing w:line="360" w:lineRule="auto"/>
        <w:ind w:right="142" w:firstLine="851"/>
        <w:jc w:val="both"/>
        <w:rPr>
          <w:rFonts w:ascii="Arial" w:hAnsi="Arial" w:cs="Arial"/>
          <w:sz w:val="20"/>
          <w:szCs w:val="20"/>
        </w:rPr>
      </w:pPr>
      <w:r>
        <w:rPr>
          <w:rFonts w:ascii="Arial" w:hAnsi="Arial" w:cs="Arial"/>
          <w:sz w:val="20"/>
          <w:szCs w:val="20"/>
        </w:rPr>
        <w:t>Da denúncia, constou que o garçom foi preso em flagrante delito, na madrugada de 10.12.20</w:t>
      </w:r>
      <w:r w:rsidR="00EC458D">
        <w:rPr>
          <w:rFonts w:ascii="Arial" w:hAnsi="Arial" w:cs="Arial"/>
          <w:sz w:val="20"/>
          <w:szCs w:val="20"/>
        </w:rPr>
        <w:t>22</w:t>
      </w:r>
      <w:r>
        <w:rPr>
          <w:rFonts w:ascii="Arial" w:hAnsi="Arial" w:cs="Arial"/>
          <w:sz w:val="20"/>
          <w:szCs w:val="20"/>
        </w:rPr>
        <w:t>, quando foi encontrado</w:t>
      </w:r>
      <w:r w:rsidR="00EC458D">
        <w:rPr>
          <w:rFonts w:ascii="Arial" w:hAnsi="Arial" w:cs="Arial"/>
          <w:sz w:val="20"/>
          <w:szCs w:val="20"/>
        </w:rPr>
        <w:t xml:space="preserve"> </w:t>
      </w:r>
      <w:r>
        <w:rPr>
          <w:rFonts w:ascii="Arial" w:hAnsi="Arial" w:cs="Arial"/>
          <w:sz w:val="20"/>
          <w:szCs w:val="20"/>
        </w:rPr>
        <w:t xml:space="preserve">por </w:t>
      </w:r>
      <w:r w:rsidR="00EC458D">
        <w:rPr>
          <w:rFonts w:ascii="Arial" w:hAnsi="Arial" w:cs="Arial"/>
          <w:sz w:val="20"/>
          <w:szCs w:val="20"/>
        </w:rPr>
        <w:t>policiais</w:t>
      </w:r>
      <w:r>
        <w:rPr>
          <w:rFonts w:ascii="Arial" w:hAnsi="Arial" w:cs="Arial"/>
          <w:sz w:val="20"/>
          <w:szCs w:val="20"/>
        </w:rPr>
        <w:t xml:space="preserve"> militares, na posse de um relógio marca </w:t>
      </w:r>
      <w:proofErr w:type="spellStart"/>
      <w:r>
        <w:rPr>
          <w:rFonts w:ascii="Arial" w:hAnsi="Arial" w:cs="Arial"/>
          <w:sz w:val="20"/>
          <w:szCs w:val="20"/>
        </w:rPr>
        <w:t>rolex</w:t>
      </w:r>
      <w:proofErr w:type="spellEnd"/>
      <w:r>
        <w:rPr>
          <w:rFonts w:ascii="Arial" w:hAnsi="Arial" w:cs="Arial"/>
          <w:sz w:val="20"/>
          <w:szCs w:val="20"/>
        </w:rPr>
        <w:t xml:space="preserve">, quando voltava para casa. Segundo o depoimento dos policiais, o acusado, que permaneceu calado durante a lavratura do auto de prisão flagrante, teria dito que achara o relógio caído na calçada. Posteriormente, apurou-se que o relógio havia sido furtado, naquela noite, de um turista </w:t>
      </w:r>
      <w:r w:rsidRPr="00691C00">
        <w:rPr>
          <w:rFonts w:ascii="Arial" w:hAnsi="Arial" w:cs="Arial"/>
          <w:sz w:val="20"/>
          <w:szCs w:val="20"/>
        </w:rPr>
        <w:t xml:space="preserve">americano que caminhava pelo centro de São Paulo. </w:t>
      </w:r>
    </w:p>
    <w:p w14:paraId="24406BCA" w14:textId="77777777" w:rsidR="00676B11" w:rsidRDefault="00676B11" w:rsidP="00676B11">
      <w:pPr>
        <w:spacing w:line="360" w:lineRule="auto"/>
        <w:ind w:right="142" w:firstLine="851"/>
        <w:jc w:val="both"/>
        <w:rPr>
          <w:rFonts w:ascii="Arial" w:hAnsi="Arial" w:cs="Arial"/>
          <w:sz w:val="20"/>
          <w:szCs w:val="20"/>
        </w:rPr>
      </w:pPr>
      <w:r>
        <w:rPr>
          <w:rFonts w:ascii="Arial" w:hAnsi="Arial" w:cs="Arial"/>
          <w:sz w:val="20"/>
          <w:szCs w:val="20"/>
        </w:rPr>
        <w:t xml:space="preserve">Em seu interrogatório, Diogo disse que achou o relógio na rua, e que pretendia no dia seguinte, descobrir quem era o verdadeiro dono, quando foi surpreendido por policiais e preso em flagrante. </w:t>
      </w:r>
    </w:p>
    <w:p w14:paraId="5673EFE9" w14:textId="0A3B7640" w:rsidR="00676B11" w:rsidRDefault="00676B11" w:rsidP="00676B11">
      <w:pPr>
        <w:spacing w:line="360" w:lineRule="auto"/>
        <w:ind w:right="142" w:firstLine="851"/>
        <w:jc w:val="both"/>
        <w:rPr>
          <w:rFonts w:ascii="Arial" w:hAnsi="Arial" w:cs="Arial"/>
          <w:sz w:val="20"/>
          <w:szCs w:val="20"/>
        </w:rPr>
      </w:pPr>
      <w:r>
        <w:rPr>
          <w:rFonts w:ascii="Arial" w:hAnsi="Arial" w:cs="Arial"/>
          <w:sz w:val="20"/>
          <w:szCs w:val="20"/>
        </w:rPr>
        <w:t xml:space="preserve">O Ministério Público, após o interrogatório de Diogo, aditou a denúncia, alterando parcialmente os fatos, por considerar quer não </w:t>
      </w:r>
      <w:r w:rsidR="00EC458D">
        <w:rPr>
          <w:rFonts w:ascii="Arial" w:hAnsi="Arial" w:cs="Arial"/>
          <w:sz w:val="20"/>
          <w:szCs w:val="20"/>
        </w:rPr>
        <w:t xml:space="preserve">teria </w:t>
      </w:r>
      <w:r>
        <w:rPr>
          <w:rFonts w:ascii="Arial" w:hAnsi="Arial" w:cs="Arial"/>
          <w:sz w:val="20"/>
          <w:szCs w:val="20"/>
        </w:rPr>
        <w:t>h</w:t>
      </w:r>
      <w:r w:rsidR="00EC458D">
        <w:rPr>
          <w:rFonts w:ascii="Arial" w:hAnsi="Arial" w:cs="Arial"/>
          <w:sz w:val="20"/>
          <w:szCs w:val="20"/>
        </w:rPr>
        <w:t>avido</w:t>
      </w:r>
      <w:r>
        <w:rPr>
          <w:rFonts w:ascii="Arial" w:hAnsi="Arial" w:cs="Arial"/>
          <w:sz w:val="20"/>
          <w:szCs w:val="20"/>
        </w:rPr>
        <w:t xml:space="preserve"> subtração, mas apropriação indébita de coisa achada.</w:t>
      </w:r>
    </w:p>
    <w:p w14:paraId="38C79B15" w14:textId="3383B166" w:rsidR="00676B11" w:rsidRPr="00691C00" w:rsidRDefault="00EC458D" w:rsidP="00676B11">
      <w:pPr>
        <w:spacing w:line="360" w:lineRule="auto"/>
        <w:ind w:right="142" w:firstLine="851"/>
        <w:jc w:val="both"/>
        <w:rPr>
          <w:rFonts w:ascii="Arial" w:hAnsi="Arial" w:cs="Arial"/>
          <w:sz w:val="20"/>
          <w:szCs w:val="20"/>
        </w:rPr>
      </w:pPr>
      <w:r>
        <w:rPr>
          <w:rFonts w:ascii="Arial" w:hAnsi="Arial" w:cs="Arial"/>
          <w:sz w:val="20"/>
          <w:szCs w:val="20"/>
        </w:rPr>
        <w:t xml:space="preserve">A defesa se manifestou contrariamente ao aditamento. </w:t>
      </w:r>
      <w:r w:rsidR="00676B11">
        <w:rPr>
          <w:rFonts w:ascii="Arial" w:hAnsi="Arial" w:cs="Arial"/>
          <w:sz w:val="20"/>
          <w:szCs w:val="20"/>
        </w:rPr>
        <w:t xml:space="preserve">O aditamento da denúncia foi recebido pelo juiz. </w:t>
      </w:r>
    </w:p>
    <w:p w14:paraId="5C953B82" w14:textId="1C37D48D" w:rsidR="00676B11" w:rsidRPr="00691C00" w:rsidRDefault="00676B11" w:rsidP="00676B11">
      <w:pPr>
        <w:spacing w:line="360" w:lineRule="auto"/>
        <w:ind w:right="142" w:firstLine="851"/>
        <w:jc w:val="both"/>
        <w:rPr>
          <w:rFonts w:ascii="Arial" w:hAnsi="Arial" w:cs="Arial"/>
          <w:sz w:val="20"/>
          <w:szCs w:val="20"/>
        </w:rPr>
      </w:pPr>
      <w:r w:rsidRPr="00691C00">
        <w:rPr>
          <w:rFonts w:ascii="Arial" w:hAnsi="Arial" w:cs="Arial"/>
          <w:sz w:val="20"/>
          <w:szCs w:val="20"/>
        </w:rPr>
        <w:t xml:space="preserve">Ao fim do processo em primeira instância, </w:t>
      </w:r>
      <w:r>
        <w:rPr>
          <w:rFonts w:ascii="Arial" w:hAnsi="Arial" w:cs="Arial"/>
          <w:sz w:val="20"/>
          <w:szCs w:val="20"/>
        </w:rPr>
        <w:t xml:space="preserve">Diego </w:t>
      </w:r>
      <w:r w:rsidRPr="00691C00">
        <w:rPr>
          <w:rFonts w:ascii="Arial" w:hAnsi="Arial" w:cs="Arial"/>
          <w:sz w:val="20"/>
          <w:szCs w:val="20"/>
        </w:rPr>
        <w:t>foi condenado pelo Juízo da 10ª Vara Criminal do Foro Central da Comarca de São Paulo</w:t>
      </w:r>
      <w:r>
        <w:rPr>
          <w:rFonts w:ascii="Arial" w:hAnsi="Arial" w:cs="Arial"/>
          <w:sz w:val="20"/>
          <w:szCs w:val="20"/>
        </w:rPr>
        <w:t>,</w:t>
      </w:r>
      <w:r w:rsidRPr="00691C00">
        <w:rPr>
          <w:rFonts w:ascii="Arial" w:hAnsi="Arial" w:cs="Arial"/>
          <w:sz w:val="20"/>
          <w:szCs w:val="20"/>
        </w:rPr>
        <w:t xml:space="preserve"> </w:t>
      </w:r>
      <w:r>
        <w:rPr>
          <w:rFonts w:ascii="Arial" w:hAnsi="Arial" w:cs="Arial"/>
          <w:sz w:val="20"/>
          <w:szCs w:val="20"/>
        </w:rPr>
        <w:t>à</w:t>
      </w:r>
      <w:r w:rsidRPr="00691C00">
        <w:rPr>
          <w:rFonts w:ascii="Arial" w:hAnsi="Arial" w:cs="Arial"/>
          <w:sz w:val="20"/>
          <w:szCs w:val="20"/>
        </w:rPr>
        <w:t xml:space="preserve"> pena </w:t>
      </w:r>
      <w:r w:rsidR="00EC458D">
        <w:rPr>
          <w:rFonts w:ascii="Arial" w:hAnsi="Arial" w:cs="Arial"/>
          <w:sz w:val="20"/>
          <w:szCs w:val="20"/>
        </w:rPr>
        <w:t xml:space="preserve">base foi fixada em 1 ano. Sem agravantes e atenuantes. Houve o acréscimo de 1/3, por ter sido o furto praticado durante o repouso noturno, ficando a pena em </w:t>
      </w:r>
      <w:r w:rsidRPr="00691C00">
        <w:rPr>
          <w:rFonts w:ascii="Arial" w:hAnsi="Arial" w:cs="Arial"/>
          <w:sz w:val="20"/>
          <w:szCs w:val="20"/>
        </w:rPr>
        <w:t xml:space="preserve">de </w:t>
      </w:r>
      <w:r w:rsidR="00EC458D">
        <w:rPr>
          <w:rFonts w:ascii="Arial" w:hAnsi="Arial" w:cs="Arial"/>
          <w:sz w:val="20"/>
          <w:szCs w:val="20"/>
        </w:rPr>
        <w:t>1</w:t>
      </w:r>
      <w:r w:rsidRPr="00691C00">
        <w:rPr>
          <w:rFonts w:ascii="Arial" w:hAnsi="Arial" w:cs="Arial"/>
          <w:sz w:val="20"/>
          <w:szCs w:val="20"/>
        </w:rPr>
        <w:t xml:space="preserve"> anos </w:t>
      </w:r>
      <w:r w:rsidR="00EC458D">
        <w:rPr>
          <w:rFonts w:ascii="Arial" w:hAnsi="Arial" w:cs="Arial"/>
          <w:sz w:val="20"/>
          <w:szCs w:val="20"/>
        </w:rPr>
        <w:t xml:space="preserve">e quatro meses de </w:t>
      </w:r>
      <w:r w:rsidRPr="00691C00">
        <w:rPr>
          <w:rFonts w:ascii="Arial" w:hAnsi="Arial" w:cs="Arial"/>
          <w:sz w:val="20"/>
          <w:szCs w:val="20"/>
        </w:rPr>
        <w:t xml:space="preserve">reclusão, em regime inicial </w:t>
      </w:r>
      <w:r>
        <w:rPr>
          <w:rFonts w:ascii="Arial" w:hAnsi="Arial" w:cs="Arial"/>
          <w:sz w:val="20"/>
          <w:szCs w:val="20"/>
        </w:rPr>
        <w:t>aberto</w:t>
      </w:r>
      <w:r w:rsidRPr="00691C00">
        <w:rPr>
          <w:rFonts w:ascii="Arial" w:hAnsi="Arial" w:cs="Arial"/>
          <w:sz w:val="20"/>
          <w:szCs w:val="20"/>
        </w:rPr>
        <w:t>, e a 13 dias-multa, pela prática do delito de furto</w:t>
      </w:r>
      <w:r w:rsidR="00EC458D">
        <w:rPr>
          <w:rFonts w:ascii="Arial" w:hAnsi="Arial" w:cs="Arial"/>
          <w:sz w:val="20"/>
          <w:szCs w:val="20"/>
        </w:rPr>
        <w:t>, com valor do dia-multa no mínimo legal.</w:t>
      </w:r>
      <w:r w:rsidRPr="00691C00">
        <w:rPr>
          <w:rFonts w:ascii="Arial" w:hAnsi="Arial" w:cs="Arial"/>
          <w:sz w:val="20"/>
          <w:szCs w:val="20"/>
        </w:rPr>
        <w:t xml:space="preserve"> </w:t>
      </w:r>
      <w:r>
        <w:rPr>
          <w:rFonts w:ascii="Arial" w:hAnsi="Arial" w:cs="Arial"/>
          <w:sz w:val="20"/>
          <w:szCs w:val="20"/>
        </w:rPr>
        <w:t xml:space="preserve">O juiz negou a substituição da pena privativa de liberdade, por pena de multa ou restritiva de direito, em razão dos maus antecedentes do acusado, que já havia sido preso por não pagar pensão alimentícia para o seu filho. </w:t>
      </w:r>
    </w:p>
    <w:p w14:paraId="6418E3FC" w14:textId="77777777" w:rsidR="00676B11" w:rsidRDefault="00676B11" w:rsidP="00676B11">
      <w:pPr>
        <w:spacing w:line="360" w:lineRule="auto"/>
        <w:ind w:right="142" w:firstLine="720"/>
        <w:jc w:val="both"/>
        <w:rPr>
          <w:rFonts w:ascii="Arial" w:hAnsi="Arial" w:cs="Arial"/>
          <w:sz w:val="20"/>
          <w:szCs w:val="20"/>
        </w:rPr>
      </w:pPr>
      <w:r w:rsidRPr="00691C00">
        <w:rPr>
          <w:rFonts w:ascii="Arial" w:hAnsi="Arial" w:cs="Arial"/>
          <w:sz w:val="20"/>
          <w:szCs w:val="20"/>
        </w:rPr>
        <w:t>Contra esta decisão, o Advogado de Diogo apelou para o Tribunal de Justiça do Estado de São Paulo, alegando a insuficiência de provas para a condenação</w:t>
      </w:r>
      <w:r>
        <w:rPr>
          <w:rFonts w:ascii="Arial" w:hAnsi="Arial" w:cs="Arial"/>
          <w:sz w:val="20"/>
          <w:szCs w:val="20"/>
        </w:rPr>
        <w:t xml:space="preserve"> e, subsidiariamente, a substituição da pena privativa de liberdade por pena de multa, visto que o não pagamento de pensão é questão de natureza civil, não pode ser considerada maus antecedentes. </w:t>
      </w:r>
    </w:p>
    <w:p w14:paraId="29EF1AC2" w14:textId="6E097F25" w:rsidR="00676B11" w:rsidRPr="00691C00" w:rsidRDefault="00676B11" w:rsidP="00676B11">
      <w:pPr>
        <w:spacing w:line="360" w:lineRule="auto"/>
        <w:ind w:right="142" w:firstLine="720"/>
        <w:jc w:val="both"/>
        <w:rPr>
          <w:rFonts w:ascii="Arial" w:hAnsi="Arial" w:cs="Arial"/>
          <w:sz w:val="20"/>
          <w:szCs w:val="20"/>
        </w:rPr>
      </w:pPr>
      <w:r>
        <w:rPr>
          <w:rFonts w:ascii="Arial" w:hAnsi="Arial" w:cs="Arial"/>
          <w:sz w:val="20"/>
          <w:szCs w:val="20"/>
        </w:rPr>
        <w:lastRenderedPageBreak/>
        <w:t xml:space="preserve">O Ministério Público apelou da denúncia, alegando a nulidade da sentença, por </w:t>
      </w:r>
      <w:r w:rsidR="00EC458D">
        <w:rPr>
          <w:rFonts w:ascii="Arial" w:hAnsi="Arial" w:cs="Arial"/>
          <w:sz w:val="20"/>
          <w:szCs w:val="20"/>
        </w:rPr>
        <w:t xml:space="preserve">contrariar </w:t>
      </w:r>
      <w:r>
        <w:rPr>
          <w:rFonts w:ascii="Arial" w:hAnsi="Arial" w:cs="Arial"/>
          <w:sz w:val="20"/>
          <w:szCs w:val="20"/>
        </w:rPr>
        <w:t xml:space="preserve">o art. 384, § 4º, do Código de Processo Penal, por violação da regra da correlação entre acusação e sentença. </w:t>
      </w:r>
    </w:p>
    <w:p w14:paraId="54E240A5" w14:textId="1FD1E5C0" w:rsidR="00676B11" w:rsidRDefault="00676B11" w:rsidP="00676B11">
      <w:pPr>
        <w:spacing w:line="360" w:lineRule="auto"/>
        <w:ind w:right="142" w:firstLine="720"/>
        <w:jc w:val="both"/>
        <w:rPr>
          <w:rFonts w:ascii="Arial" w:hAnsi="Arial" w:cs="Arial"/>
          <w:sz w:val="20"/>
          <w:szCs w:val="20"/>
        </w:rPr>
      </w:pPr>
      <w:r>
        <w:rPr>
          <w:rFonts w:ascii="Arial" w:hAnsi="Arial" w:cs="Arial"/>
          <w:sz w:val="20"/>
          <w:szCs w:val="20"/>
        </w:rPr>
        <w:t>A 5</w:t>
      </w:r>
      <w:r w:rsidRPr="00691C00">
        <w:rPr>
          <w:rFonts w:ascii="Arial" w:hAnsi="Arial" w:cs="Arial"/>
          <w:sz w:val="20"/>
          <w:szCs w:val="20"/>
        </w:rPr>
        <w:t>ª Câmara de Direito Criminal do Tribunal de Justiça, por unanimidade, conheceu d</w:t>
      </w:r>
      <w:r>
        <w:rPr>
          <w:rFonts w:ascii="Arial" w:hAnsi="Arial" w:cs="Arial"/>
          <w:sz w:val="20"/>
          <w:szCs w:val="20"/>
        </w:rPr>
        <w:t xml:space="preserve">e ambos </w:t>
      </w:r>
      <w:r w:rsidR="00EC458D">
        <w:rPr>
          <w:rFonts w:ascii="Arial" w:hAnsi="Arial" w:cs="Arial"/>
          <w:sz w:val="20"/>
          <w:szCs w:val="20"/>
        </w:rPr>
        <w:t xml:space="preserve">os </w:t>
      </w:r>
      <w:r>
        <w:rPr>
          <w:rFonts w:ascii="Arial" w:hAnsi="Arial" w:cs="Arial"/>
          <w:sz w:val="20"/>
          <w:szCs w:val="20"/>
        </w:rPr>
        <w:t xml:space="preserve">recursos. Negou a alegação de nulidade do recurso do Ministério Público, sob o fundamento que havendo aditamento da denúncia, o juiz pode julgar o acusado tanto pela imputação originária, quanto pela imputação objeto do aditamento. Quanto ao recurso </w:t>
      </w:r>
      <w:r w:rsidR="00EC458D">
        <w:rPr>
          <w:rFonts w:ascii="Arial" w:hAnsi="Arial" w:cs="Arial"/>
          <w:sz w:val="20"/>
          <w:szCs w:val="20"/>
        </w:rPr>
        <w:t>da defesa</w:t>
      </w:r>
      <w:r>
        <w:rPr>
          <w:rFonts w:ascii="Arial" w:hAnsi="Arial" w:cs="Arial"/>
          <w:sz w:val="20"/>
          <w:szCs w:val="20"/>
        </w:rPr>
        <w:t>,</w:t>
      </w:r>
      <w:r w:rsidRPr="00691C00">
        <w:rPr>
          <w:rFonts w:ascii="Arial" w:hAnsi="Arial" w:cs="Arial"/>
          <w:sz w:val="20"/>
          <w:szCs w:val="20"/>
        </w:rPr>
        <w:t xml:space="preserve"> negou-lhe provimento, sob o seguinte fundamento: </w:t>
      </w:r>
      <w:r w:rsidRPr="00691C00">
        <w:rPr>
          <w:rFonts w:ascii="Arial" w:hAnsi="Arial" w:cs="Arial"/>
          <w:i/>
          <w:sz w:val="20"/>
          <w:szCs w:val="20"/>
        </w:rPr>
        <w:t>“</w:t>
      </w:r>
      <w:r w:rsidRPr="000A1EA2">
        <w:rPr>
          <w:rFonts w:ascii="Arial" w:eastAsia="MS Mincho" w:hAnsi="Arial" w:cs="Arial"/>
          <w:i/>
          <w:color w:val="313131"/>
          <w:sz w:val="20"/>
          <w:szCs w:val="20"/>
          <w:lang w:eastAsia="en-US"/>
        </w:rPr>
        <w:t xml:space="preserve">A apreensão da </w:t>
      </w:r>
      <w:r w:rsidRPr="000A1EA2">
        <w:rPr>
          <w:rFonts w:ascii="Arial" w:eastAsia="MS Mincho" w:hAnsi="Arial" w:cs="Arial"/>
          <w:bCs/>
          <w:i/>
          <w:color w:val="1A1A1A"/>
          <w:sz w:val="20"/>
          <w:szCs w:val="20"/>
          <w:lang w:eastAsia="en-US"/>
        </w:rPr>
        <w:t>coisa</w:t>
      </w:r>
      <w:r w:rsidRPr="000A1EA2">
        <w:rPr>
          <w:rFonts w:ascii="Arial" w:eastAsia="MS Mincho" w:hAnsi="Arial" w:cs="Arial"/>
          <w:i/>
          <w:color w:val="313131"/>
          <w:sz w:val="20"/>
          <w:szCs w:val="20"/>
          <w:lang w:eastAsia="en-US"/>
        </w:rPr>
        <w:t xml:space="preserve"> alheia móvel na </w:t>
      </w:r>
      <w:r w:rsidRPr="000A1EA2">
        <w:rPr>
          <w:rFonts w:ascii="Arial" w:eastAsia="MS Mincho" w:hAnsi="Arial" w:cs="Arial"/>
          <w:bCs/>
          <w:i/>
          <w:color w:val="1A1A1A"/>
          <w:sz w:val="20"/>
          <w:szCs w:val="20"/>
          <w:lang w:eastAsia="en-US"/>
        </w:rPr>
        <w:t>posse</w:t>
      </w:r>
      <w:r w:rsidRPr="000A1EA2">
        <w:rPr>
          <w:rFonts w:ascii="Arial" w:eastAsia="MS Mincho" w:hAnsi="Arial" w:cs="Arial"/>
          <w:i/>
          <w:color w:val="313131"/>
          <w:sz w:val="20"/>
          <w:szCs w:val="20"/>
          <w:lang w:eastAsia="en-US"/>
        </w:rPr>
        <w:t xml:space="preserve"> do agente, quando se está diante de crime contra o patrimônio, de início é por demais indicativ</w:t>
      </w:r>
      <w:r w:rsidR="00EC458D">
        <w:rPr>
          <w:rFonts w:ascii="Arial" w:eastAsia="MS Mincho" w:hAnsi="Arial" w:cs="Arial"/>
          <w:i/>
          <w:color w:val="313131"/>
          <w:sz w:val="20"/>
          <w:szCs w:val="20"/>
          <w:lang w:eastAsia="en-US"/>
        </w:rPr>
        <w:t>o</w:t>
      </w:r>
      <w:r w:rsidRPr="000A1EA2">
        <w:rPr>
          <w:rFonts w:ascii="Arial" w:eastAsia="MS Mincho" w:hAnsi="Arial" w:cs="Arial"/>
          <w:i/>
          <w:color w:val="313131"/>
          <w:sz w:val="20"/>
          <w:szCs w:val="20"/>
          <w:lang w:eastAsia="en-US"/>
        </w:rPr>
        <w:t xml:space="preserve"> da responsabilidade criminal do acusado, que tem o ônus de explicar e bem tal </w:t>
      </w:r>
      <w:r w:rsidRPr="000A1EA2">
        <w:rPr>
          <w:rFonts w:ascii="Arial" w:eastAsia="MS Mincho" w:hAnsi="Arial" w:cs="Arial"/>
          <w:bCs/>
          <w:i/>
          <w:color w:val="1A1A1A"/>
          <w:sz w:val="20"/>
          <w:szCs w:val="20"/>
          <w:lang w:eastAsia="en-US"/>
        </w:rPr>
        <w:t>posse,</w:t>
      </w:r>
      <w:r w:rsidRPr="000A1EA2">
        <w:rPr>
          <w:rFonts w:ascii="Arial" w:eastAsia="MS Mincho" w:hAnsi="Arial" w:cs="Arial"/>
          <w:i/>
          <w:color w:val="313131"/>
          <w:sz w:val="20"/>
          <w:szCs w:val="20"/>
          <w:lang w:eastAsia="en-US"/>
        </w:rPr>
        <w:t xml:space="preserve"> muito comprometedora. No caso, o réu não se desincumbiu de seu ônus</w:t>
      </w:r>
      <w:r>
        <w:rPr>
          <w:rFonts w:ascii="Arial" w:eastAsia="MS Mincho" w:hAnsi="Arial" w:cs="Arial"/>
          <w:i/>
          <w:color w:val="313131"/>
          <w:sz w:val="20"/>
          <w:szCs w:val="20"/>
          <w:lang w:eastAsia="en-US"/>
        </w:rPr>
        <w:t xml:space="preserve"> de provar que não era autor do crime</w:t>
      </w:r>
      <w:r w:rsidRPr="000A1EA2">
        <w:rPr>
          <w:rFonts w:ascii="Arial" w:eastAsia="MS Mincho" w:hAnsi="Arial" w:cs="Arial"/>
          <w:i/>
          <w:color w:val="313131"/>
          <w:sz w:val="20"/>
          <w:szCs w:val="20"/>
          <w:lang w:eastAsia="en-US"/>
        </w:rPr>
        <w:t xml:space="preserve">. Precedentes do </w:t>
      </w:r>
      <w:r w:rsidRPr="000A1EA2">
        <w:rPr>
          <w:rFonts w:ascii="Arial" w:eastAsia="MS Mincho" w:hAnsi="Arial" w:cs="Arial"/>
          <w:bCs/>
          <w:i/>
          <w:color w:val="1A1A1A"/>
          <w:sz w:val="20"/>
          <w:szCs w:val="20"/>
          <w:lang w:eastAsia="en-US"/>
        </w:rPr>
        <w:t>TJSP</w:t>
      </w:r>
      <w:r w:rsidRPr="00691C00">
        <w:rPr>
          <w:rFonts w:ascii="Arial" w:hAnsi="Arial" w:cs="Arial"/>
          <w:sz w:val="20"/>
          <w:szCs w:val="20"/>
        </w:rPr>
        <w:t>”.</w:t>
      </w:r>
    </w:p>
    <w:p w14:paraId="06D6CE51" w14:textId="77777777" w:rsidR="00676B11" w:rsidRPr="00691C00" w:rsidRDefault="00676B11" w:rsidP="00676B11">
      <w:pPr>
        <w:spacing w:line="360" w:lineRule="auto"/>
        <w:ind w:right="142" w:firstLine="720"/>
        <w:jc w:val="both"/>
        <w:rPr>
          <w:rFonts w:ascii="Arial" w:hAnsi="Arial" w:cs="Arial"/>
          <w:sz w:val="20"/>
          <w:szCs w:val="20"/>
        </w:rPr>
      </w:pPr>
      <w:r>
        <w:rPr>
          <w:rFonts w:ascii="Arial" w:hAnsi="Arial" w:cs="Arial"/>
          <w:sz w:val="20"/>
          <w:szCs w:val="20"/>
        </w:rPr>
        <w:t xml:space="preserve">Com relação ao regime de pena, afirmou que a sentença estava correta, “não havendo nada a acrescentar ao seu fundamento”. </w:t>
      </w:r>
    </w:p>
    <w:p w14:paraId="79B59AC4" w14:textId="4630D49A" w:rsidR="00676B11" w:rsidRDefault="00676B11" w:rsidP="00676B11">
      <w:pPr>
        <w:spacing w:line="360" w:lineRule="auto"/>
        <w:ind w:right="142" w:firstLine="851"/>
        <w:jc w:val="both"/>
        <w:rPr>
          <w:rFonts w:ascii="Arial" w:hAnsi="Arial" w:cs="Arial"/>
          <w:sz w:val="20"/>
          <w:szCs w:val="20"/>
        </w:rPr>
      </w:pPr>
      <w:r>
        <w:rPr>
          <w:rFonts w:ascii="Arial" w:hAnsi="Arial" w:cs="Arial"/>
          <w:sz w:val="20"/>
          <w:szCs w:val="20"/>
        </w:rPr>
        <w:t>Os autos do processo ingressaram no Ministério Público, dia 1</w:t>
      </w:r>
      <w:r w:rsidR="00EC458D">
        <w:rPr>
          <w:rFonts w:ascii="Arial" w:hAnsi="Arial" w:cs="Arial"/>
          <w:sz w:val="20"/>
          <w:szCs w:val="20"/>
        </w:rPr>
        <w:t>8</w:t>
      </w:r>
      <w:r>
        <w:rPr>
          <w:rFonts w:ascii="Arial" w:hAnsi="Arial" w:cs="Arial"/>
          <w:sz w:val="20"/>
          <w:szCs w:val="20"/>
        </w:rPr>
        <w:t>.0</w:t>
      </w:r>
      <w:r w:rsidR="00EC458D">
        <w:rPr>
          <w:rFonts w:ascii="Arial" w:hAnsi="Arial" w:cs="Arial"/>
          <w:sz w:val="20"/>
          <w:szCs w:val="20"/>
        </w:rPr>
        <w:t>4</w:t>
      </w:r>
      <w:r>
        <w:rPr>
          <w:rFonts w:ascii="Arial" w:hAnsi="Arial" w:cs="Arial"/>
          <w:sz w:val="20"/>
          <w:szCs w:val="20"/>
        </w:rPr>
        <w:t>.202</w:t>
      </w:r>
      <w:r w:rsidR="00EC458D">
        <w:rPr>
          <w:rFonts w:ascii="Arial" w:hAnsi="Arial" w:cs="Arial"/>
          <w:sz w:val="20"/>
          <w:szCs w:val="20"/>
        </w:rPr>
        <w:t>3</w:t>
      </w:r>
    </w:p>
    <w:p w14:paraId="46FF4AE3" w14:textId="45D6580C" w:rsidR="00676B11" w:rsidRPr="00691C00" w:rsidRDefault="00676B11" w:rsidP="00676B11">
      <w:pPr>
        <w:spacing w:line="360" w:lineRule="auto"/>
        <w:ind w:right="142" w:firstLine="851"/>
        <w:jc w:val="both"/>
        <w:rPr>
          <w:rFonts w:ascii="Arial" w:hAnsi="Arial" w:cs="Arial"/>
          <w:sz w:val="20"/>
          <w:szCs w:val="20"/>
        </w:rPr>
      </w:pPr>
      <w:r w:rsidRPr="00691C00">
        <w:rPr>
          <w:rFonts w:ascii="Arial" w:hAnsi="Arial" w:cs="Arial"/>
          <w:sz w:val="20"/>
          <w:szCs w:val="20"/>
        </w:rPr>
        <w:t>O defensor do Diogo foi intimado do acórdã</w:t>
      </w:r>
      <w:r>
        <w:rPr>
          <w:rFonts w:ascii="Arial" w:hAnsi="Arial" w:cs="Arial"/>
          <w:sz w:val="20"/>
          <w:szCs w:val="20"/>
        </w:rPr>
        <w:t>o no dia 1</w:t>
      </w:r>
      <w:r w:rsidR="00EC458D">
        <w:rPr>
          <w:rFonts w:ascii="Arial" w:hAnsi="Arial" w:cs="Arial"/>
          <w:sz w:val="20"/>
          <w:szCs w:val="20"/>
        </w:rPr>
        <w:t>9</w:t>
      </w:r>
      <w:r>
        <w:rPr>
          <w:rFonts w:ascii="Arial" w:hAnsi="Arial" w:cs="Arial"/>
          <w:sz w:val="20"/>
          <w:szCs w:val="20"/>
        </w:rPr>
        <w:t>.0</w:t>
      </w:r>
      <w:r w:rsidR="00EC458D">
        <w:rPr>
          <w:rFonts w:ascii="Arial" w:hAnsi="Arial" w:cs="Arial"/>
          <w:sz w:val="20"/>
          <w:szCs w:val="20"/>
        </w:rPr>
        <w:t>4</w:t>
      </w:r>
      <w:r w:rsidRPr="00691C00">
        <w:rPr>
          <w:rFonts w:ascii="Arial" w:hAnsi="Arial" w:cs="Arial"/>
          <w:sz w:val="20"/>
          <w:szCs w:val="20"/>
        </w:rPr>
        <w:t>.20</w:t>
      </w:r>
      <w:r>
        <w:rPr>
          <w:rFonts w:ascii="Arial" w:hAnsi="Arial" w:cs="Arial"/>
          <w:sz w:val="20"/>
          <w:szCs w:val="20"/>
        </w:rPr>
        <w:t>2</w:t>
      </w:r>
      <w:r w:rsidR="00EC458D">
        <w:rPr>
          <w:rFonts w:ascii="Arial" w:hAnsi="Arial" w:cs="Arial"/>
          <w:sz w:val="20"/>
          <w:szCs w:val="20"/>
        </w:rPr>
        <w:t>3</w:t>
      </w:r>
      <w:r w:rsidRPr="00691C00">
        <w:rPr>
          <w:rFonts w:ascii="Arial" w:hAnsi="Arial" w:cs="Arial"/>
          <w:sz w:val="20"/>
          <w:szCs w:val="20"/>
        </w:rPr>
        <w:t xml:space="preserve">. </w:t>
      </w:r>
    </w:p>
    <w:p w14:paraId="4AE8BFB4" w14:textId="77777777" w:rsidR="00676B11" w:rsidRPr="00691C00" w:rsidRDefault="00676B11" w:rsidP="00676B11">
      <w:pPr>
        <w:spacing w:line="360" w:lineRule="auto"/>
        <w:ind w:right="142" w:firstLine="851"/>
        <w:jc w:val="both"/>
        <w:rPr>
          <w:rFonts w:ascii="Arial" w:hAnsi="Arial" w:cs="Arial"/>
          <w:sz w:val="20"/>
          <w:szCs w:val="20"/>
        </w:rPr>
      </w:pPr>
    </w:p>
    <w:p w14:paraId="61DFA0FE" w14:textId="60E33FE9" w:rsidR="00DD77F3" w:rsidRPr="00676B11" w:rsidRDefault="00676B11" w:rsidP="00676B11">
      <w:pPr>
        <w:pStyle w:val="NormalWeb"/>
        <w:spacing w:before="0" w:beforeAutospacing="0" w:after="0" w:afterAutospacing="0" w:line="360" w:lineRule="auto"/>
        <w:jc w:val="both"/>
        <w:rPr>
          <w:rFonts w:ascii="Arial" w:hAnsi="Arial" w:cs="Arial"/>
          <w:sz w:val="20"/>
          <w:szCs w:val="20"/>
        </w:rPr>
      </w:pPr>
      <w:r w:rsidRPr="00D97A9A">
        <w:rPr>
          <w:rFonts w:ascii="Arial" w:hAnsi="Arial" w:cs="Arial"/>
          <w:sz w:val="20"/>
          <w:szCs w:val="20"/>
        </w:rPr>
        <w:t xml:space="preserve"> </w:t>
      </w:r>
    </w:p>
    <w:p w14:paraId="3195D8D9" w14:textId="6E9D558E" w:rsidR="00EC458D" w:rsidRDefault="00B1549C" w:rsidP="00EC458D">
      <w:pPr>
        <w:pStyle w:val="NormalWeb"/>
        <w:jc w:val="both"/>
        <w:rPr>
          <w:sz w:val="20"/>
          <w:szCs w:val="20"/>
        </w:rPr>
      </w:pPr>
      <w:r>
        <w:rPr>
          <w:rFonts w:ascii="Verdana" w:hAnsi="Verdana"/>
          <w:b/>
          <w:bCs/>
          <w:sz w:val="20"/>
          <w:szCs w:val="20"/>
        </w:rPr>
        <w:t xml:space="preserve">QUESTÃO: </w:t>
      </w:r>
      <w:r w:rsidR="00EC458D">
        <w:rPr>
          <w:rFonts w:ascii="Verdana" w:hAnsi="Verdana"/>
          <w:sz w:val="20"/>
          <w:szCs w:val="20"/>
        </w:rPr>
        <w:t xml:space="preserve">Na condição de Advogado </w:t>
      </w:r>
      <w:r w:rsidR="00EC458D">
        <w:rPr>
          <w:rFonts w:ascii="Verdana" w:hAnsi="Verdana"/>
          <w:sz w:val="20"/>
          <w:szCs w:val="20"/>
        </w:rPr>
        <w:t>do acusado</w:t>
      </w:r>
      <w:r w:rsidR="00EC458D">
        <w:rPr>
          <w:rFonts w:ascii="Verdana" w:hAnsi="Verdana"/>
          <w:sz w:val="20"/>
          <w:szCs w:val="20"/>
        </w:rPr>
        <w:t>, ou de representante do Ministério Público, conforme seu grupo, tome a providência judicial cabível.</w:t>
      </w:r>
    </w:p>
    <w:p w14:paraId="79A97845" w14:textId="5CACD120" w:rsidR="0056235B" w:rsidRDefault="0056235B" w:rsidP="00EC458D">
      <w:pPr>
        <w:pStyle w:val="NormalWeb"/>
        <w:jc w:val="both"/>
      </w:pPr>
    </w:p>
    <w:sectPr w:rsidR="0056235B" w:rsidSect="0056235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49C"/>
    <w:rsid w:val="00002722"/>
    <w:rsid w:val="001C4A9C"/>
    <w:rsid w:val="002504DA"/>
    <w:rsid w:val="002675B3"/>
    <w:rsid w:val="002A0B69"/>
    <w:rsid w:val="002D09F4"/>
    <w:rsid w:val="00430325"/>
    <w:rsid w:val="004F0F0D"/>
    <w:rsid w:val="0056235B"/>
    <w:rsid w:val="00676B11"/>
    <w:rsid w:val="00681D42"/>
    <w:rsid w:val="006A06BC"/>
    <w:rsid w:val="00735F7F"/>
    <w:rsid w:val="007F40DF"/>
    <w:rsid w:val="00872B6E"/>
    <w:rsid w:val="00A65709"/>
    <w:rsid w:val="00AB3985"/>
    <w:rsid w:val="00B1549C"/>
    <w:rsid w:val="00C248D1"/>
    <w:rsid w:val="00C31DD3"/>
    <w:rsid w:val="00D4305E"/>
    <w:rsid w:val="00DD77F3"/>
    <w:rsid w:val="00EC458D"/>
    <w:rsid w:val="00F41499"/>
    <w:rsid w:val="00FF3B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EC32C3"/>
  <w15:docId w15:val="{447679DE-AA64-DF47-9C82-551BC29C8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49C"/>
    <w:rPr>
      <w:rFonts w:ascii="Times New Roman" w:eastAsia="Times New Roman" w:hAnsi="Times New Roman"/>
      <w:sz w:val="24"/>
      <w:szCs w:val="24"/>
    </w:rPr>
  </w:style>
  <w:style w:type="paragraph" w:styleId="Ttulo1">
    <w:name w:val="heading 1"/>
    <w:basedOn w:val="Normal"/>
    <w:next w:val="Normal"/>
    <w:link w:val="Ttulo1Char"/>
    <w:qFormat/>
    <w:rsid w:val="00B1549C"/>
    <w:pPr>
      <w:autoSpaceDE w:val="0"/>
      <w:autoSpaceDN w:val="0"/>
      <w:adjustRightInd w:val="0"/>
      <w:jc w:val="center"/>
      <w:outlineLvl w:val="0"/>
    </w:pPr>
    <w:rPr>
      <w:color w:val="000000"/>
      <w:sz w:val="44"/>
      <w:szCs w:val="44"/>
    </w:rPr>
  </w:style>
  <w:style w:type="paragraph" w:styleId="Ttulo5">
    <w:name w:val="heading 5"/>
    <w:basedOn w:val="Normal"/>
    <w:next w:val="Normal"/>
    <w:link w:val="Ttulo5Char"/>
    <w:uiPriority w:val="9"/>
    <w:semiHidden/>
    <w:unhideWhenUsed/>
    <w:qFormat/>
    <w:rsid w:val="00681D42"/>
    <w:pPr>
      <w:spacing w:before="240" w:after="60"/>
      <w:outlineLvl w:val="4"/>
    </w:pPr>
    <w:rPr>
      <w:rFonts w:ascii="Cambria" w:eastAsia="MS Mincho" w:hAnsi="Cambria"/>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B1549C"/>
    <w:rPr>
      <w:rFonts w:ascii="Times New Roman" w:eastAsia="Times New Roman" w:hAnsi="Times New Roman" w:cs="Times New Roman"/>
      <w:color w:val="000000"/>
      <w:sz w:val="44"/>
      <w:szCs w:val="44"/>
      <w:lang w:eastAsia="pt-BR"/>
    </w:rPr>
  </w:style>
  <w:style w:type="paragraph" w:styleId="NormalWeb">
    <w:name w:val="Normal (Web)"/>
    <w:basedOn w:val="Normal"/>
    <w:rsid w:val="00B1549C"/>
    <w:pPr>
      <w:spacing w:before="100" w:beforeAutospacing="1" w:after="100" w:afterAutospacing="1"/>
    </w:pPr>
    <w:rPr>
      <w:color w:val="000000"/>
    </w:rPr>
  </w:style>
  <w:style w:type="paragraph" w:styleId="Ttulo">
    <w:name w:val="Title"/>
    <w:basedOn w:val="Normal"/>
    <w:link w:val="TtuloChar"/>
    <w:qFormat/>
    <w:rsid w:val="00B1549C"/>
    <w:pPr>
      <w:spacing w:before="120" w:after="120" w:line="240" w:lineRule="atLeast"/>
      <w:jc w:val="center"/>
    </w:pPr>
    <w:rPr>
      <w:b/>
      <w:sz w:val="28"/>
    </w:rPr>
  </w:style>
  <w:style w:type="character" w:customStyle="1" w:styleId="TtuloChar">
    <w:name w:val="Título Char"/>
    <w:link w:val="Ttulo"/>
    <w:rsid w:val="00B1549C"/>
    <w:rPr>
      <w:rFonts w:ascii="Times New Roman" w:eastAsia="Times New Roman" w:hAnsi="Times New Roman" w:cs="Times New Roman"/>
      <w:b/>
      <w:sz w:val="28"/>
      <w:lang w:eastAsia="pt-BR"/>
    </w:rPr>
  </w:style>
  <w:style w:type="character" w:customStyle="1" w:styleId="txtarial10ptblack">
    <w:name w:val="txt_arial_10pt_black"/>
    <w:basedOn w:val="Fontepargpadro"/>
    <w:rsid w:val="00B1549C"/>
  </w:style>
  <w:style w:type="character" w:customStyle="1" w:styleId="Ttulo5Char">
    <w:name w:val="Título 5 Char"/>
    <w:link w:val="Ttulo5"/>
    <w:uiPriority w:val="9"/>
    <w:semiHidden/>
    <w:rsid w:val="00681D42"/>
    <w:rPr>
      <w:rFonts w:ascii="Cambria" w:eastAsia="MS Mincho" w:hAnsi="Cambria" w:cs="Times New Roman"/>
      <w:b/>
      <w:bCs/>
      <w:i/>
      <w:iCs/>
      <w:sz w:val="26"/>
      <w:szCs w:val="26"/>
      <w:lang w:eastAsia="pt-BR"/>
    </w:rPr>
  </w:style>
  <w:style w:type="character" w:styleId="Hyperlink">
    <w:name w:val="Hyperlink"/>
    <w:uiPriority w:val="99"/>
    <w:semiHidden/>
    <w:unhideWhenUsed/>
    <w:rsid w:val="00681D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1746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587</Words>
  <Characters>3171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Badaró</dc:creator>
  <cp:keywords/>
  <dc:description/>
  <cp:lastModifiedBy>Gustavo Badaró | Badaró Advogados</cp:lastModifiedBy>
  <cp:revision>3</cp:revision>
  <dcterms:created xsi:type="dcterms:W3CDTF">2023-04-20T16:53:00Z</dcterms:created>
  <dcterms:modified xsi:type="dcterms:W3CDTF">2023-04-20T17:09:00Z</dcterms:modified>
</cp:coreProperties>
</file>