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70A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hAnsi="Times New Roman" w:cs="Times New Roman"/>
          <w:sz w:val="24"/>
          <w:szCs w:val="24"/>
        </w:rPr>
        <w:tab/>
      </w:r>
      <w:r w:rsidR="00F94531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4AFFD62B">
          <v:group id="_x0000_s1026" alt="" style="position:absolute;left:0;text-align:left;margin-left:18pt;margin-top:-41.1pt;width:443.4pt;height:85pt;z-index:251660288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14:paraId="50D1A11D" w14:textId="77777777" w:rsidR="00A057E1" w:rsidRPr="000C0FAE" w:rsidRDefault="00A057E1" w:rsidP="0028199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151EA928" w14:textId="77777777" w:rsidR="00A057E1" w:rsidRPr="000C0FAE" w:rsidRDefault="00A057E1" w:rsidP="0028199A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544C3248" w14:textId="77777777" w:rsidR="00A057E1" w:rsidRDefault="00A057E1" w:rsidP="0028199A">
                    <w:pPr>
                      <w:rPr>
                        <w:sz w:val="16"/>
                      </w:rPr>
                    </w:pPr>
                  </w:p>
                  <w:p w14:paraId="0A31CA54" w14:textId="77777777" w:rsidR="00A057E1" w:rsidRDefault="00A057E1" w:rsidP="0028199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41181707" r:id="rId12"/>
        </w:object>
      </w:r>
    </w:p>
    <w:p w14:paraId="72D35E21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F0FCD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DF008" w14:textId="77777777" w:rsidR="006330DE" w:rsidRPr="00706BF2" w:rsidRDefault="006330DE" w:rsidP="006330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90E4477" w14:textId="77777777" w:rsidR="006330DE" w:rsidRPr="00706BF2" w:rsidRDefault="006330DE" w:rsidP="006330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5600" w:rsidRPr="00706BF2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53654FE3" w14:textId="77777777" w:rsidR="006330DE" w:rsidRDefault="006330DE" w:rsidP="006330DE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70B69C51" w14:textId="77777777" w:rsidR="002C7954" w:rsidRPr="00706BF2" w:rsidRDefault="002C7954" w:rsidP="006330DE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897BC00" w14:textId="377E94B8" w:rsidR="006330DE" w:rsidRPr="00706BF2" w:rsidRDefault="002B546B" w:rsidP="002B5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68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30DE" w:rsidRPr="00706BF2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CB17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0D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014071E" w14:textId="77777777" w:rsidR="006330DE" w:rsidRPr="00706BF2" w:rsidRDefault="006330DE" w:rsidP="006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EFCC" w14:textId="0175FA9C" w:rsidR="00D656F3" w:rsidRPr="00706BF2" w:rsidRDefault="006330DE" w:rsidP="00D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7D58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9169E" w:rsidRPr="0059169E">
        <w:rPr>
          <w:rFonts w:ascii="Times New Roman" w:eastAsia="Times New Roman" w:hAnsi="Times New Roman" w:cs="Times New Roman"/>
          <w:b/>
          <w:sz w:val="24"/>
          <w:szCs w:val="24"/>
        </w:rPr>
        <w:t xml:space="preserve">Princípios e Limitações Constitucionais ao Poder de Tributar </w:t>
      </w:r>
      <w:r w:rsidR="005916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9169E" w:rsidRPr="0059169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169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396682" w14:textId="77777777" w:rsidR="002C7954" w:rsidRDefault="002C7954" w:rsidP="00AD3D3B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6BB16" w14:textId="1A0B9B50" w:rsidR="00043FB5" w:rsidRDefault="00236E82" w:rsidP="00CB17F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Decreto n. 11.322/2022, de 30 de dezembro de 2022, publicado nesse mesmo dia em edição extra do DOU, reduziu alíquotas de PIS/COFINS cobradas sobre receitas financeiras, conforme a íntegra do seu texto:</w:t>
      </w:r>
    </w:p>
    <w:p w14:paraId="09AF9192" w14:textId="3F7F820A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236E82">
        <w:rPr>
          <w:rFonts w:ascii="Times New Roman" w:hAnsi="Times New Roman" w:cs="Times New Roman"/>
        </w:rPr>
        <w:t>Art. 1º O Decreto nº 8.426, de 1º de abril de 2015, passa a vigorar com as seguintes alterações:</w:t>
      </w:r>
    </w:p>
    <w:p w14:paraId="2F703813" w14:textId="77777777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</w:p>
    <w:p w14:paraId="7F2406EB" w14:textId="77777777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236E82">
        <w:rPr>
          <w:rFonts w:ascii="Times New Roman" w:hAnsi="Times New Roman" w:cs="Times New Roman"/>
        </w:rPr>
        <w:t>“Art. 1º  Ficam estabelecidas em 0,33% (trinta e três centésimos por cento) e 2% (dois por cento), respectivamente, as alíquotas da Contribuição para os Programas de Integração Social e de Formação do Patrimônio do Servidor Público - PIS/PASEP e da Contribuição para o Financiamento da Seguridade Social - COFINS incidentes sobre receitas financeiras, inclusive decorrentes de operações realizadas para fins de hedge, auferidas pelas pessoas jurídicas sujeitas ao regime de apuração não-cumulativa das referidas contribuições.</w:t>
      </w:r>
    </w:p>
    <w:p w14:paraId="242A534B" w14:textId="77777777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</w:p>
    <w:p w14:paraId="06CA29B5" w14:textId="77777777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236E82">
        <w:rPr>
          <w:rFonts w:ascii="Times New Roman" w:hAnsi="Times New Roman" w:cs="Times New Roman"/>
        </w:rPr>
        <w:t>............................................................................................................” (NR)</w:t>
      </w:r>
    </w:p>
    <w:p w14:paraId="14AEC6D8" w14:textId="77777777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</w:p>
    <w:p w14:paraId="2581E9E2" w14:textId="1D08ADE0" w:rsidR="00236E82" w:rsidRPr="00236E82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236E82">
        <w:rPr>
          <w:rFonts w:ascii="Times New Roman" w:hAnsi="Times New Roman" w:cs="Times New Roman"/>
        </w:rPr>
        <w:t>Art. 2º Este Decreto entra em vigor na data de sua publicação e produz efeitos a partir de 1º de janeiro de 2023.</w:t>
      </w:r>
    </w:p>
    <w:p w14:paraId="201E600D" w14:textId="77777777" w:rsidR="00236E82" w:rsidRDefault="00236E82" w:rsidP="00CB17F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5BFA2" w14:textId="0C51DE41" w:rsidR="007D5852" w:rsidRDefault="00043FB5" w:rsidP="00CB17F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Decreto nº </w:t>
      </w:r>
      <w:r w:rsidR="00236E82">
        <w:rPr>
          <w:rFonts w:ascii="Times New Roman" w:hAnsi="Times New Roman" w:cs="Times New Roman"/>
          <w:sz w:val="24"/>
          <w:szCs w:val="24"/>
        </w:rPr>
        <w:t>11.374/2023, por sua vez, de 1º de janeiro de 2023 e publicado no DOU de 2 de janeiro de 2023- edição extra, revogou o Decreto acima referid</w:t>
      </w:r>
      <w:r w:rsidR="00973C19">
        <w:rPr>
          <w:rFonts w:ascii="Times New Roman" w:hAnsi="Times New Roman" w:cs="Times New Roman"/>
          <w:sz w:val="24"/>
          <w:szCs w:val="24"/>
        </w:rPr>
        <w:t>o</w:t>
      </w:r>
      <w:r w:rsidR="00236E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6E82">
        <w:rPr>
          <w:rFonts w:ascii="Times New Roman" w:hAnsi="Times New Roman" w:cs="Times New Roman"/>
          <w:sz w:val="24"/>
          <w:szCs w:val="24"/>
        </w:rPr>
        <w:t>repristinou</w:t>
      </w:r>
      <w:proofErr w:type="spellEnd"/>
      <w:r w:rsidR="00236E82">
        <w:rPr>
          <w:rFonts w:ascii="Times New Roman" w:hAnsi="Times New Roman" w:cs="Times New Roman"/>
          <w:sz w:val="24"/>
          <w:szCs w:val="24"/>
        </w:rPr>
        <w:t xml:space="preserve"> expressamente a redação anterior a 30 de dezembro de 2022, nos seguintes termos:</w:t>
      </w:r>
    </w:p>
    <w:p w14:paraId="1272F93D" w14:textId="77777777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>Art. 1º Ficam revogados:</w:t>
      </w:r>
    </w:p>
    <w:p w14:paraId="5AEC2023" w14:textId="5D215060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>(...)</w:t>
      </w:r>
    </w:p>
    <w:p w14:paraId="37750F52" w14:textId="1278F57A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 xml:space="preserve">II - </w:t>
      </w:r>
      <w:proofErr w:type="gramStart"/>
      <w:r w:rsidRPr="00BF7F73">
        <w:rPr>
          <w:rFonts w:ascii="Times New Roman" w:hAnsi="Times New Roman" w:cs="Times New Roman"/>
        </w:rPr>
        <w:t>o</w:t>
      </w:r>
      <w:proofErr w:type="gramEnd"/>
      <w:r w:rsidRPr="00BF7F73">
        <w:rPr>
          <w:rFonts w:ascii="Times New Roman" w:hAnsi="Times New Roman" w:cs="Times New Roman"/>
        </w:rPr>
        <w:t xml:space="preserve"> Decreto nº 11.322, de 30 de dezembro de 2022; e</w:t>
      </w:r>
    </w:p>
    <w:p w14:paraId="423F9D04" w14:textId="626687EA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>(...)</w:t>
      </w:r>
    </w:p>
    <w:p w14:paraId="08DFFDD7" w14:textId="24D6E045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 xml:space="preserve">Art. 3º Ficam </w:t>
      </w:r>
      <w:proofErr w:type="spellStart"/>
      <w:r w:rsidRPr="00BF7F73">
        <w:rPr>
          <w:rFonts w:ascii="Times New Roman" w:hAnsi="Times New Roman" w:cs="Times New Roman"/>
        </w:rPr>
        <w:t>repristinadas</w:t>
      </w:r>
      <w:proofErr w:type="spellEnd"/>
      <w:r w:rsidRPr="00BF7F73">
        <w:rPr>
          <w:rFonts w:ascii="Times New Roman" w:hAnsi="Times New Roman" w:cs="Times New Roman"/>
        </w:rPr>
        <w:t xml:space="preserve"> as redações:</w:t>
      </w:r>
    </w:p>
    <w:p w14:paraId="1419D449" w14:textId="77777777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lastRenderedPageBreak/>
        <w:t xml:space="preserve">I - </w:t>
      </w:r>
      <w:proofErr w:type="gramStart"/>
      <w:r w:rsidRPr="00BF7F73">
        <w:rPr>
          <w:rFonts w:ascii="Times New Roman" w:hAnsi="Times New Roman" w:cs="Times New Roman"/>
        </w:rPr>
        <w:t>do</w:t>
      </w:r>
      <w:proofErr w:type="gramEnd"/>
      <w:r w:rsidRPr="00BF7F73">
        <w:rPr>
          <w:rFonts w:ascii="Times New Roman" w:hAnsi="Times New Roman" w:cs="Times New Roman"/>
        </w:rPr>
        <w:t xml:space="preserve"> Decreto nº 8.426, de 1º de abril de 2015, anteriormente à alteração promovida pelo Decreto nº 11.322, de 2022; e</w:t>
      </w:r>
    </w:p>
    <w:p w14:paraId="0E6089B4" w14:textId="709BD212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>(...)</w:t>
      </w:r>
    </w:p>
    <w:p w14:paraId="288F71DE" w14:textId="77777777" w:rsidR="00236E82" w:rsidRPr="00BF7F73" w:rsidRDefault="00236E82" w:rsidP="00236E82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BF7F73">
        <w:rPr>
          <w:rFonts w:ascii="Times New Roman" w:hAnsi="Times New Roman" w:cs="Times New Roman"/>
        </w:rPr>
        <w:t>Art. 4</w:t>
      </w:r>
      <w:proofErr w:type="gramStart"/>
      <w:r w:rsidRPr="00BF7F73">
        <w:rPr>
          <w:rFonts w:ascii="Times New Roman" w:hAnsi="Times New Roman" w:cs="Times New Roman"/>
        </w:rPr>
        <w:t>º  Este</w:t>
      </w:r>
      <w:proofErr w:type="gramEnd"/>
      <w:r w:rsidRPr="00BF7F73">
        <w:rPr>
          <w:rFonts w:ascii="Times New Roman" w:hAnsi="Times New Roman" w:cs="Times New Roman"/>
        </w:rPr>
        <w:t xml:space="preserve"> Decreto entra em vigor na data de sua publicação.</w:t>
      </w:r>
    </w:p>
    <w:p w14:paraId="441BE414" w14:textId="77777777" w:rsidR="006F6556" w:rsidRPr="006F6556" w:rsidRDefault="006F6556" w:rsidP="00236E82">
      <w:pPr>
        <w:spacing w:before="100" w:after="100"/>
        <w:jc w:val="both"/>
        <w:rPr>
          <w:rFonts w:ascii="Times New Roman" w:hAnsi="Times New Roman" w:cs="Times New Roman"/>
        </w:rPr>
      </w:pPr>
    </w:p>
    <w:p w14:paraId="374083BF" w14:textId="6D1E95F0" w:rsidR="009B6210" w:rsidRDefault="00236E82" w:rsidP="00967BE9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possibilidade de aplicação imediata do último Decreto teve sua discussão pautada para análise do Plenário do Supremo Tribunal Federal em sede de medida cautelar</w:t>
      </w:r>
      <w:r w:rsidR="00973C19">
        <w:rPr>
          <w:rFonts w:ascii="Times New Roman" w:hAnsi="Times New Roman" w:cs="Times New Roman"/>
          <w:sz w:val="24"/>
          <w:szCs w:val="24"/>
        </w:rPr>
        <w:t xml:space="preserve"> no âmbito do controle concentrado de constitucionalidade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F73">
        <w:rPr>
          <w:rFonts w:ascii="Times New Roman" w:hAnsi="Times New Roman" w:cs="Times New Roman"/>
          <w:sz w:val="24"/>
          <w:szCs w:val="24"/>
        </w:rPr>
        <w:t xml:space="preserve"> Defendam:</w:t>
      </w:r>
    </w:p>
    <w:p w14:paraId="3694CD45" w14:textId="77777777" w:rsidR="00973C19" w:rsidRDefault="00973C19" w:rsidP="00967BE9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1033E" w14:textId="516B326D" w:rsidR="00AD3D3B" w:rsidRPr="00706BF2" w:rsidRDefault="00AD3D3B" w:rsidP="00AD3D3B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A36FF3" w:rsidRPr="00706BF2">
        <w:rPr>
          <w:rFonts w:ascii="Times New Roman" w:eastAsia="Times New Roman" w:hAnsi="Times New Roman" w:cs="Times New Roman"/>
          <w:sz w:val="24"/>
          <w:szCs w:val="24"/>
        </w:rPr>
        <w:t xml:space="preserve">representantes do 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>Contribuinte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justificar </w:t>
      </w:r>
      <w:r w:rsidR="00ED56D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36E82">
        <w:rPr>
          <w:rFonts w:ascii="Times New Roman" w:eastAsia="Times New Roman" w:hAnsi="Times New Roman" w:cs="Times New Roman"/>
          <w:sz w:val="24"/>
          <w:szCs w:val="24"/>
        </w:rPr>
        <w:t>impossibilidade de produção imediata de efeitos</w:t>
      </w:r>
      <w:r w:rsidR="000A6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644E1" w14:textId="5970127A" w:rsidR="00AD3D3B" w:rsidRPr="00706BF2" w:rsidRDefault="00AD3D3B" w:rsidP="00AD3D3B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proofErr w:type="spellEnd"/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 xml:space="preserve">Fisco, os argumentos cabíveis para justificar </w:t>
      </w:r>
      <w:r w:rsidR="004304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36E82">
        <w:rPr>
          <w:rFonts w:ascii="Times New Roman" w:eastAsia="Times New Roman" w:hAnsi="Times New Roman" w:cs="Times New Roman"/>
          <w:sz w:val="24"/>
          <w:szCs w:val="24"/>
        </w:rPr>
        <w:t>produção imediata de efeitos do Decreto último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E5A02" w14:textId="496B038F" w:rsidR="0084040E" w:rsidRPr="00706BF2" w:rsidRDefault="00AD3D3B" w:rsidP="00D6772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sz w:val="24"/>
          <w:szCs w:val="24"/>
        </w:rPr>
        <w:tab/>
        <w:t xml:space="preserve">Esclareça-se que argumentos que transbordem da temática </w:t>
      </w:r>
      <w:r w:rsidR="00E62F4C" w:rsidRPr="00706BF2">
        <w:rPr>
          <w:rFonts w:ascii="Times New Roman" w:hAnsi="Times New Roman" w:cs="Times New Roman"/>
          <w:sz w:val="24"/>
          <w:szCs w:val="24"/>
        </w:rPr>
        <w:t>“Princípios e Limitações Constitucionais ao Poder de Tributar”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 </w:t>
      </w:r>
    </w:p>
    <w:sectPr w:rsidR="0084040E" w:rsidRPr="00706BF2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BD88" w14:textId="77777777" w:rsidR="00F94531" w:rsidRDefault="00F94531" w:rsidP="00BE6975">
      <w:pPr>
        <w:spacing w:after="0" w:line="240" w:lineRule="auto"/>
      </w:pPr>
      <w:r>
        <w:separator/>
      </w:r>
    </w:p>
  </w:endnote>
  <w:endnote w:type="continuationSeparator" w:id="0">
    <w:p w14:paraId="285D8263" w14:textId="77777777" w:rsidR="00F94531" w:rsidRDefault="00F94531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5159" w14:textId="77777777" w:rsidR="00F94531" w:rsidRDefault="00F94531" w:rsidP="00BE6975">
      <w:pPr>
        <w:spacing w:after="0" w:line="240" w:lineRule="auto"/>
      </w:pPr>
      <w:r>
        <w:separator/>
      </w:r>
    </w:p>
  </w:footnote>
  <w:footnote w:type="continuationSeparator" w:id="0">
    <w:p w14:paraId="2943BA0C" w14:textId="77777777" w:rsidR="00F94531" w:rsidRDefault="00F94531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81"/>
    <w:rsid w:val="0000189B"/>
    <w:rsid w:val="00012689"/>
    <w:rsid w:val="0001578F"/>
    <w:rsid w:val="00020D97"/>
    <w:rsid w:val="00041E61"/>
    <w:rsid w:val="00042949"/>
    <w:rsid w:val="00043FB5"/>
    <w:rsid w:val="00050A6A"/>
    <w:rsid w:val="00054B91"/>
    <w:rsid w:val="000711D1"/>
    <w:rsid w:val="000742DD"/>
    <w:rsid w:val="0009007A"/>
    <w:rsid w:val="000A3B4C"/>
    <w:rsid w:val="000A6B46"/>
    <w:rsid w:val="000A7B8E"/>
    <w:rsid w:val="000D097B"/>
    <w:rsid w:val="000F65DE"/>
    <w:rsid w:val="00112879"/>
    <w:rsid w:val="001132CF"/>
    <w:rsid w:val="0011563B"/>
    <w:rsid w:val="001448BF"/>
    <w:rsid w:val="0018549F"/>
    <w:rsid w:val="001B1D91"/>
    <w:rsid w:val="001C5C7A"/>
    <w:rsid w:val="001D749D"/>
    <w:rsid w:val="0021448A"/>
    <w:rsid w:val="00234262"/>
    <w:rsid w:val="00236E82"/>
    <w:rsid w:val="00250F6A"/>
    <w:rsid w:val="00251FDB"/>
    <w:rsid w:val="002525D8"/>
    <w:rsid w:val="0028199A"/>
    <w:rsid w:val="002829D1"/>
    <w:rsid w:val="00293A59"/>
    <w:rsid w:val="002A331D"/>
    <w:rsid w:val="002A52EC"/>
    <w:rsid w:val="002B546B"/>
    <w:rsid w:val="002B61D4"/>
    <w:rsid w:val="002C1A78"/>
    <w:rsid w:val="002C1CFC"/>
    <w:rsid w:val="002C7954"/>
    <w:rsid w:val="002D7C3B"/>
    <w:rsid w:val="002E0C0A"/>
    <w:rsid w:val="002E0D90"/>
    <w:rsid w:val="002E3041"/>
    <w:rsid w:val="002F3446"/>
    <w:rsid w:val="0031539E"/>
    <w:rsid w:val="00316EAE"/>
    <w:rsid w:val="0032100B"/>
    <w:rsid w:val="003357EB"/>
    <w:rsid w:val="0034256C"/>
    <w:rsid w:val="00370EAC"/>
    <w:rsid w:val="0037197D"/>
    <w:rsid w:val="003727DF"/>
    <w:rsid w:val="0037629A"/>
    <w:rsid w:val="00380840"/>
    <w:rsid w:val="00387C97"/>
    <w:rsid w:val="003B4CD9"/>
    <w:rsid w:val="003B6920"/>
    <w:rsid w:val="003D0359"/>
    <w:rsid w:val="003D0BAE"/>
    <w:rsid w:val="003E169D"/>
    <w:rsid w:val="003F181A"/>
    <w:rsid w:val="00411580"/>
    <w:rsid w:val="00414760"/>
    <w:rsid w:val="00430409"/>
    <w:rsid w:val="00430D44"/>
    <w:rsid w:val="00462BE0"/>
    <w:rsid w:val="00475600"/>
    <w:rsid w:val="004766C0"/>
    <w:rsid w:val="0048459C"/>
    <w:rsid w:val="00486BBD"/>
    <w:rsid w:val="00497663"/>
    <w:rsid w:val="004A1559"/>
    <w:rsid w:val="004A2D47"/>
    <w:rsid w:val="004B25A0"/>
    <w:rsid w:val="004D68D7"/>
    <w:rsid w:val="004E0996"/>
    <w:rsid w:val="004E73CE"/>
    <w:rsid w:val="00510256"/>
    <w:rsid w:val="00524673"/>
    <w:rsid w:val="00527C90"/>
    <w:rsid w:val="00532FF8"/>
    <w:rsid w:val="0053433F"/>
    <w:rsid w:val="00537D06"/>
    <w:rsid w:val="00540B45"/>
    <w:rsid w:val="00540BF3"/>
    <w:rsid w:val="005434C0"/>
    <w:rsid w:val="00566FA0"/>
    <w:rsid w:val="00570EB3"/>
    <w:rsid w:val="00580E90"/>
    <w:rsid w:val="00590E80"/>
    <w:rsid w:val="0059169E"/>
    <w:rsid w:val="00591F7D"/>
    <w:rsid w:val="005A3E2A"/>
    <w:rsid w:val="005A7C66"/>
    <w:rsid w:val="005B6E08"/>
    <w:rsid w:val="005F66F0"/>
    <w:rsid w:val="005F6CD3"/>
    <w:rsid w:val="00612ECF"/>
    <w:rsid w:val="006330DE"/>
    <w:rsid w:val="00651029"/>
    <w:rsid w:val="00657014"/>
    <w:rsid w:val="006810A4"/>
    <w:rsid w:val="006858C8"/>
    <w:rsid w:val="006D2332"/>
    <w:rsid w:val="006D7202"/>
    <w:rsid w:val="006E5C81"/>
    <w:rsid w:val="006F6556"/>
    <w:rsid w:val="006F706E"/>
    <w:rsid w:val="00706BF2"/>
    <w:rsid w:val="0070705E"/>
    <w:rsid w:val="0073048A"/>
    <w:rsid w:val="007338AF"/>
    <w:rsid w:val="00740E20"/>
    <w:rsid w:val="00797CF3"/>
    <w:rsid w:val="007A7494"/>
    <w:rsid w:val="007B3B92"/>
    <w:rsid w:val="007C0412"/>
    <w:rsid w:val="007C40B7"/>
    <w:rsid w:val="007D5852"/>
    <w:rsid w:val="007F5528"/>
    <w:rsid w:val="007F6223"/>
    <w:rsid w:val="008111F3"/>
    <w:rsid w:val="00832989"/>
    <w:rsid w:val="00835AAD"/>
    <w:rsid w:val="0084040E"/>
    <w:rsid w:val="0084307C"/>
    <w:rsid w:val="00851932"/>
    <w:rsid w:val="0086033B"/>
    <w:rsid w:val="00873F3B"/>
    <w:rsid w:val="00875C74"/>
    <w:rsid w:val="008913CA"/>
    <w:rsid w:val="00893C04"/>
    <w:rsid w:val="008A5CFB"/>
    <w:rsid w:val="008B14F0"/>
    <w:rsid w:val="008B206E"/>
    <w:rsid w:val="008B62CC"/>
    <w:rsid w:val="008C3C66"/>
    <w:rsid w:val="008D0B44"/>
    <w:rsid w:val="008D609F"/>
    <w:rsid w:val="00907AB6"/>
    <w:rsid w:val="00922C43"/>
    <w:rsid w:val="00925979"/>
    <w:rsid w:val="00951A25"/>
    <w:rsid w:val="00966CE6"/>
    <w:rsid w:val="00967BE9"/>
    <w:rsid w:val="009708A7"/>
    <w:rsid w:val="00973C19"/>
    <w:rsid w:val="00990843"/>
    <w:rsid w:val="009A4D8D"/>
    <w:rsid w:val="009A7B39"/>
    <w:rsid w:val="009B3797"/>
    <w:rsid w:val="009B6210"/>
    <w:rsid w:val="009D35A8"/>
    <w:rsid w:val="009E7CE6"/>
    <w:rsid w:val="00A057E1"/>
    <w:rsid w:val="00A130E1"/>
    <w:rsid w:val="00A36FF3"/>
    <w:rsid w:val="00A62789"/>
    <w:rsid w:val="00A66C3D"/>
    <w:rsid w:val="00A804D6"/>
    <w:rsid w:val="00A82C09"/>
    <w:rsid w:val="00AA6DBC"/>
    <w:rsid w:val="00AC3B89"/>
    <w:rsid w:val="00AD3D3B"/>
    <w:rsid w:val="00AE7444"/>
    <w:rsid w:val="00B00ED9"/>
    <w:rsid w:val="00B15BA7"/>
    <w:rsid w:val="00B1732F"/>
    <w:rsid w:val="00B25E6D"/>
    <w:rsid w:val="00B26A1D"/>
    <w:rsid w:val="00B32240"/>
    <w:rsid w:val="00B44686"/>
    <w:rsid w:val="00B61005"/>
    <w:rsid w:val="00B617C0"/>
    <w:rsid w:val="00B62B42"/>
    <w:rsid w:val="00B66B29"/>
    <w:rsid w:val="00B8625B"/>
    <w:rsid w:val="00B86DCD"/>
    <w:rsid w:val="00B921C0"/>
    <w:rsid w:val="00BA53AE"/>
    <w:rsid w:val="00BA58CC"/>
    <w:rsid w:val="00BB1634"/>
    <w:rsid w:val="00BD0489"/>
    <w:rsid w:val="00BE1A92"/>
    <w:rsid w:val="00BE6975"/>
    <w:rsid w:val="00BF7F47"/>
    <w:rsid w:val="00BF7F73"/>
    <w:rsid w:val="00C12AE5"/>
    <w:rsid w:val="00C25FA7"/>
    <w:rsid w:val="00C83462"/>
    <w:rsid w:val="00CA4333"/>
    <w:rsid w:val="00CB17F3"/>
    <w:rsid w:val="00CD72B0"/>
    <w:rsid w:val="00CE637F"/>
    <w:rsid w:val="00CE701C"/>
    <w:rsid w:val="00CE7157"/>
    <w:rsid w:val="00CF04F6"/>
    <w:rsid w:val="00CF3C55"/>
    <w:rsid w:val="00D0550E"/>
    <w:rsid w:val="00D41FDF"/>
    <w:rsid w:val="00D46129"/>
    <w:rsid w:val="00D5743E"/>
    <w:rsid w:val="00D60DA8"/>
    <w:rsid w:val="00D656F3"/>
    <w:rsid w:val="00D67724"/>
    <w:rsid w:val="00D704F3"/>
    <w:rsid w:val="00D827DF"/>
    <w:rsid w:val="00D84ADD"/>
    <w:rsid w:val="00D87F6C"/>
    <w:rsid w:val="00D9469E"/>
    <w:rsid w:val="00DB7CBB"/>
    <w:rsid w:val="00DC41AC"/>
    <w:rsid w:val="00DD2121"/>
    <w:rsid w:val="00DD5AF2"/>
    <w:rsid w:val="00DE5257"/>
    <w:rsid w:val="00DF51F5"/>
    <w:rsid w:val="00E143AB"/>
    <w:rsid w:val="00E4632C"/>
    <w:rsid w:val="00E5433A"/>
    <w:rsid w:val="00E6137B"/>
    <w:rsid w:val="00E62F4C"/>
    <w:rsid w:val="00EA623B"/>
    <w:rsid w:val="00EB059A"/>
    <w:rsid w:val="00EB6D23"/>
    <w:rsid w:val="00EC182A"/>
    <w:rsid w:val="00EC69A8"/>
    <w:rsid w:val="00ED56D2"/>
    <w:rsid w:val="00EE401B"/>
    <w:rsid w:val="00EF148E"/>
    <w:rsid w:val="00EF329C"/>
    <w:rsid w:val="00EF5DF3"/>
    <w:rsid w:val="00F348B3"/>
    <w:rsid w:val="00F3528D"/>
    <w:rsid w:val="00F5353B"/>
    <w:rsid w:val="00F762DE"/>
    <w:rsid w:val="00F76558"/>
    <w:rsid w:val="00F92B5C"/>
    <w:rsid w:val="00F94531"/>
    <w:rsid w:val="00FA2C27"/>
    <w:rsid w:val="00FA3AB9"/>
    <w:rsid w:val="00FB07CD"/>
    <w:rsid w:val="00FC50EA"/>
    <w:rsid w:val="00FD76E3"/>
    <w:rsid w:val="00FE475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C918E94"/>
  <w15:docId w15:val="{FEDE9FFE-8E92-4061-AA4A-5306ED3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975"/>
    <w:rPr>
      <w:vertAlign w:val="superscript"/>
    </w:rPr>
  </w:style>
  <w:style w:type="table" w:styleId="Tabelacomgrade">
    <w:name w:val="Table Grid"/>
    <w:basedOn w:val="Tabelanormal"/>
    <w:uiPriority w:val="59"/>
    <w:rsid w:val="000D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EA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D67724"/>
    <w:rPr>
      <w:color w:val="0000FF" w:themeColor="hyperlink"/>
      <w:u w:val="single"/>
    </w:rPr>
  </w:style>
  <w:style w:type="paragraph" w:customStyle="1" w:styleId="04partenormativa">
    <w:name w:val="04partenormativa"/>
    <w:basedOn w:val="Normal"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lterao">
    <w:name w:val="06alterao"/>
    <w:basedOn w:val="Normal"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5adda-8f7f-4d4d-8644-c352a26c37e8">
      <Terms xmlns="http://schemas.microsoft.com/office/infopath/2007/PartnerControls"/>
    </lcf76f155ced4ddcb4097134ff3c332f>
    <TaxCatchAll xmlns="934c32c4-9a03-4929-92ef-4e9049ee97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E14B2-E2C9-49EC-909C-2BCD0E10E09F}"/>
</file>

<file path=customXml/itemProps2.xml><?xml version="1.0" encoding="utf-8"?>
<ds:datastoreItem xmlns:ds="http://schemas.openxmlformats.org/officeDocument/2006/customXml" ds:itemID="{81DA6AF2-B3D8-47C6-BC1F-038185E30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BAEDE-9915-4C16-B13C-733C7A055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60851-42AA-4B1A-B65D-798024526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2166</Characters>
  <Application>Microsoft Office Word</Application>
  <DocSecurity>0</DocSecurity>
  <PresentationFormat>12|.DOCX</PresentationFormat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André Coelho</cp:lastModifiedBy>
  <cp:revision>6</cp:revision>
  <dcterms:created xsi:type="dcterms:W3CDTF">2023-03-24T14:14:00Z</dcterms:created>
  <dcterms:modified xsi:type="dcterms:W3CDTF">2023-03-24T19:48:00Z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  <property fmtid="{D5CDD505-2E9C-101B-9397-08002B2CF9AE}" pid="3" name="ContentTypeId">
    <vt:lpwstr>0x01010071E08940B78A0243ADCD653EC0893FDE</vt:lpwstr>
  </property>
</Properties>
</file>