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181B" w14:textId="77777777" w:rsidR="00345353" w:rsidRDefault="00345353">
      <w:pPr>
        <w:rPr>
          <w:rFonts w:ascii="Arial" w:hAnsi="Arial" w:cs="Arial"/>
          <w:sz w:val="30"/>
          <w:szCs w:val="30"/>
          <w:shd w:val="clear" w:color="auto" w:fill="FFFFFF"/>
        </w:rPr>
      </w:pPr>
      <w:bookmarkStart w:id="0" w:name="_Hlk132229853"/>
      <w:r>
        <w:rPr>
          <w:rFonts w:ascii="Arial" w:hAnsi="Arial" w:cs="Arial"/>
          <w:sz w:val="30"/>
          <w:szCs w:val="30"/>
          <w:shd w:val="clear" w:color="auto" w:fill="FFFFFF"/>
        </w:rPr>
        <w:t>BIBLIOTECA ESCOLAR NOCONTEXTO DAS REFORMAS LIBERAISDO FINAL DO SÉCULO XIX E INÍCIO DO SECULO XX:ANÁLISES A PARTIR DO CONCEITO DE REGIME DE INFORMAÇÃO</w:t>
      </w:r>
    </w:p>
    <w:p w14:paraId="6E380829" w14:textId="34DEE11D" w:rsidR="004707C8" w:rsidRPr="004707C8" w:rsidRDefault="00000000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5" w:history="1">
        <w:r w:rsidR="004707C8" w:rsidRPr="004707C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https://periodicos.furg.br/biblos/article/view/12107/8875</w:t>
        </w:r>
      </w:hyperlink>
      <w:r w:rsidR="004707C8" w:rsidRPr="004707C8">
        <w:rPr>
          <w:rFonts w:ascii="Arial" w:hAnsi="Arial" w:cs="Arial"/>
          <w:sz w:val="23"/>
          <w:szCs w:val="23"/>
          <w:shd w:val="clear" w:color="auto" w:fill="FFFFFF"/>
        </w:rPr>
        <w:t xml:space="preserve"> ace</w:t>
      </w:r>
      <w:r w:rsidR="004707C8">
        <w:rPr>
          <w:rFonts w:ascii="Arial" w:hAnsi="Arial" w:cs="Arial"/>
          <w:sz w:val="23"/>
          <w:szCs w:val="23"/>
          <w:shd w:val="clear" w:color="auto" w:fill="FFFFFF"/>
        </w:rPr>
        <w:t>sso 12 abril 2023</w:t>
      </w:r>
    </w:p>
    <w:p w14:paraId="289C99DF" w14:textId="4CA4ED7F" w:rsidR="00345353" w:rsidRDefault="00345353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Debora Santos de Oliveira</w:t>
      </w:r>
      <w:r w:rsidR="00734CD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Mestre em Ciência da Informação e Doutoranda</w:t>
      </w:r>
      <w:r w:rsidR="00734CD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em</w:t>
      </w:r>
      <w:r w:rsidR="00734CD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"Knowledge Society" pela Universidadde Salamanca, </w:t>
      </w:r>
      <w:hyperlink r:id="rId6" w:history="1">
        <w:r w:rsidRPr="00E20F0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Espanha.debora_oliveira@id.uff.br.https://orcid.org/0000-0001-5084-3936</w:t>
        </w:r>
      </w:hyperlink>
    </w:p>
    <w:p w14:paraId="536CFEBE" w14:textId="11888D53" w:rsidR="00345353" w:rsidRDefault="00345353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Elisabete Gonçalves de Souza</w:t>
      </w:r>
      <w:r w:rsidR="00734CD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Professora do Programa de Pós-Graduação em Ciência</w:t>
      </w:r>
      <w:r w:rsidR="00734CD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da Informação da Universidade Federal Fluminense, Brasil. </w:t>
      </w:r>
      <w:hyperlink r:id="rId7" w:history="1">
        <w:r w:rsidRPr="00E20F0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elisabetes.souza@gmail.com.https://orcid.org/0000-0001-9707-6017</w:t>
        </w:r>
      </w:hyperlink>
    </w:p>
    <w:bookmarkEnd w:id="0"/>
    <w:p w14:paraId="00B38ACE" w14:textId="4455450C" w:rsidR="005F1E29" w:rsidRPr="005F1E29" w:rsidRDefault="005F1E29">
      <w:pPr>
        <w:rPr>
          <w:rFonts w:ascii="Arial" w:hAnsi="Arial" w:cs="Arial"/>
          <w:b/>
          <w:bCs/>
          <w:sz w:val="25"/>
          <w:szCs w:val="25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Biblos: Revista do Instituto de Ciências Humanas e da Informação, Rio Grandev. </w:t>
      </w:r>
      <w:r w:rsidRPr="005F1E2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35, n. 01, p. 132-146, </w:t>
      </w:r>
      <w:proofErr w:type="spellStart"/>
      <w:proofErr w:type="gramStart"/>
      <w:r w:rsidRPr="005F1E29">
        <w:rPr>
          <w:rFonts w:ascii="Arial" w:hAnsi="Arial" w:cs="Arial"/>
          <w:sz w:val="20"/>
          <w:szCs w:val="20"/>
          <w:shd w:val="clear" w:color="auto" w:fill="FFFFFF"/>
          <w:lang w:val="en-US"/>
        </w:rPr>
        <w:t>jan.</w:t>
      </w:r>
      <w:proofErr w:type="spellEnd"/>
      <w:r w:rsidRPr="005F1E29">
        <w:rPr>
          <w:rFonts w:ascii="Arial" w:hAnsi="Arial" w:cs="Arial"/>
          <w:sz w:val="20"/>
          <w:szCs w:val="20"/>
          <w:shd w:val="clear" w:color="auto" w:fill="FFFFFF"/>
          <w:lang w:val="en-US"/>
        </w:rPr>
        <w:t>/</w:t>
      </w:r>
      <w:proofErr w:type="gramEnd"/>
      <w:r w:rsidRPr="005F1E29">
        <w:rPr>
          <w:rFonts w:ascii="Arial" w:hAnsi="Arial" w:cs="Arial"/>
          <w:sz w:val="20"/>
          <w:szCs w:val="20"/>
          <w:shd w:val="clear" w:color="auto" w:fill="FFFFFF"/>
          <w:lang w:val="en-US"/>
        </w:rPr>
        <w:t>jun. 2021. ISSN 2236-7594. DOI: https://doi.org/10.14295/biblos.v35i1.12107</w:t>
      </w:r>
    </w:p>
    <w:p w14:paraId="75AC7B8A" w14:textId="37563171" w:rsidR="00345353" w:rsidRDefault="00345353">
      <w:pPr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RESUMO</w:t>
      </w:r>
    </w:p>
    <w:p w14:paraId="0E35074B" w14:textId="5703C909" w:rsidR="00345353" w:rsidRDefault="00345353">
      <w:pPr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Este artigo traz dados históricos sobre a biblioteca escolar no Brasil,com destaque para sua inserção nas reformas educacionais ocorridas no país em meados dos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séculos XIX e XX. Trata-se de uma pesquisa de caráter exploratória, pois estabelece o levantamento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bibliográfico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como caminho principal para investigação, com análises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sob o ponto de vista do conceito de regime de informação.O estudo enfatiza as problemáticas relacionadas à biblioteca escolar e à educação nos anos de 1920-30, período em que a biblioteca escolar é mencionada  pela  primeira  vez  nas  políticas  públicas  para  a  educação; destaca a  criação  do  Instituto Nacional do Livro (INL) e do Instituo Nacional de Estudos e Pesquisas Educacionais Anísio Teixeira (INEP), instituições  estratégicas  para  o fomento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de políticas alinhadas  com  projeto  urbano-industrial  em  curso.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Conclui  que  o  novo  regime  de  informação, conduzido pelo governo Vargas, espraiou-se  pelo</w:t>
      </w:r>
      <w:r w:rsidR="00B54918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campo educacional com o apoio dos escolanovistas, ressignificando as funções da escola e de sua biblioteca. </w:t>
      </w:r>
    </w:p>
    <w:p w14:paraId="08B02A85" w14:textId="4744527C" w:rsidR="008E283A" w:rsidRDefault="00345353">
      <w:pPr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Palavras-chave: História da biblioteca escolar no Brasil. Educação  e  biblioteca no  Brasil. Escola Nova. Regime de informação.</w:t>
      </w:r>
    </w:p>
    <w:p w14:paraId="231D2E53" w14:textId="3186E05F" w:rsidR="00B54918" w:rsidRDefault="00B54918">
      <w:pPr>
        <w:rPr>
          <w:rFonts w:ascii="Arial" w:hAnsi="Arial" w:cs="Arial"/>
          <w:sz w:val="25"/>
          <w:szCs w:val="25"/>
          <w:shd w:val="clear" w:color="auto" w:fill="FFFFFF"/>
        </w:rPr>
      </w:pPr>
    </w:p>
    <w:p w14:paraId="1E5A7B86" w14:textId="10418372" w:rsidR="00B54918" w:rsidRDefault="00B54918">
      <w:pPr>
        <w:rPr>
          <w:rFonts w:ascii="Arial" w:hAnsi="Arial" w:cs="Arial"/>
          <w:sz w:val="25"/>
          <w:szCs w:val="25"/>
          <w:shd w:val="clear" w:color="auto" w:fill="FFFFFF"/>
        </w:rPr>
      </w:pPr>
    </w:p>
    <w:p w14:paraId="3C5C75FF" w14:textId="42277959" w:rsidR="00B54918" w:rsidRDefault="00B54918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7F6730A2" w14:textId="34C1A6DF" w:rsidR="00B54918" w:rsidRDefault="00B54918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042B81C5" w14:textId="141E245B" w:rsidR="00B54918" w:rsidRDefault="00B54918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63657CF7" w14:textId="4777FBA1" w:rsidR="00B54918" w:rsidRDefault="00B54918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4E5F7F29" w14:textId="2F4350C4" w:rsidR="00B54918" w:rsidRPr="005C79DC" w:rsidRDefault="00B54918" w:rsidP="00B54918">
      <w:pPr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5C79DC">
        <w:rPr>
          <w:rFonts w:ascii="Arial" w:hAnsi="Arial" w:cs="Arial"/>
          <w:b/>
          <w:bCs/>
          <w:sz w:val="30"/>
          <w:szCs w:val="30"/>
          <w:shd w:val="clear" w:color="auto" w:fill="FFFFFF"/>
        </w:rPr>
        <w:lastRenderedPageBreak/>
        <w:t>RESUMO:</w:t>
      </w:r>
    </w:p>
    <w:p w14:paraId="447E2D2B" w14:textId="78CA502F" w:rsidR="00B54918" w:rsidRPr="00966AF0" w:rsidRDefault="00DE3181" w:rsidP="00B5491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A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INTRODUÇÃO</w:t>
      </w:r>
    </w:p>
    <w:p w14:paraId="0C00B005" w14:textId="7A6D499E" w:rsidR="0079401F" w:rsidRDefault="00B54918" w:rsidP="00B549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partir dos anos 1880-1890, as r</w:t>
      </w:r>
      <w:r w:rsidRPr="00B5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elações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Escola-Biblioteca emergem no Brasil,  </w:t>
      </w:r>
      <w:r w:rsidRPr="00B54918">
        <w:rPr>
          <w:rFonts w:ascii="Times New Roman" w:hAnsi="Times New Roman" w:cs="Times New Roman"/>
          <w:sz w:val="24"/>
          <w:szCs w:val="24"/>
          <w:shd w:val="clear" w:color="auto" w:fill="FFFFFF"/>
        </w:rPr>
        <w:t>“período em que o projeto de modernização de corte liberal-manufatureiro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918">
        <w:rPr>
          <w:rFonts w:ascii="Times New Roman" w:hAnsi="Times New Roman" w:cs="Times New Roman"/>
          <w:sz w:val="24"/>
          <w:szCs w:val="24"/>
          <w:shd w:val="clear" w:color="auto" w:fill="FFFFFF"/>
        </w:rPr>
        <w:t>começava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918">
        <w:rPr>
          <w:rFonts w:ascii="Times New Roman" w:hAnsi="Times New Roman" w:cs="Times New Roman"/>
          <w:sz w:val="24"/>
          <w:szCs w:val="24"/>
          <w:shd w:val="clear" w:color="auto" w:fill="FFFFFF"/>
        </w:rPr>
        <w:t>a despontar em crítica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918">
        <w:rPr>
          <w:rFonts w:ascii="Times New Roman" w:hAnsi="Times New Roman" w:cs="Times New Roman"/>
          <w:sz w:val="24"/>
          <w:szCs w:val="24"/>
          <w:shd w:val="clear" w:color="auto" w:fill="FFFFFF"/>
        </w:rPr>
        <w:t>ao modelo agrário-exportador dominante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p.3</w:t>
      </w:r>
      <w:r w:rsidRPr="00B54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no quadro das reformas liberais que o presente artigo procura analisar o percurso histórico  da  biblioteca  escolar  no  Brasil,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entre  o  final  do  século  XIX  e  o  início  do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século  XX,  mais  especificamente os  anos  de 1930, quando  a burguesia  industrial  lança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suas  teses  com  vista  a  modernizar  o  Estado  e a reformulá-lo  para  poder  dirigi-lo, instaurando um  novo de regime  de  Informação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>, conceito que seg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undo  González  de  Gómez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(2008; 2012),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um</w:t>
      </w:r>
      <w:r w:rsid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instrumento  analítico  que  nos  permite reconstruir os 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>[...] modos de produção de ações e práticas de informação, ancoradas nas redes   densas   de   relações   culturais,   sociais   e econômicas   e   condicionadas   pelas estruturações preferenciais das relações de poder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79401F" w:rsidRPr="00794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(GONZÁLEZ DE GÓMEZ, 2008, p.2)</w:t>
      </w:r>
    </w:p>
    <w:p w14:paraId="7C88D9FC" w14:textId="6B9B9182" w:rsidR="004E0D66" w:rsidRDefault="004E0D66" w:rsidP="00B549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Na área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educacional,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destaca-se a influência do movimento escolanovista,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cujo Primeiro Manifesto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(1932)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apontava,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ainda que de forma não sistematizada,   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preocupação    com    equipamentos    educacionais    para    o desenvolvimento  da  aprendizagem,  como  laboratórios  e  bibliotecas,  tendo  em  vista 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desenvolvimento de um projeto de nação nos quadros da modernidade capitalista,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em que escola torna-se um lugar fundamental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para o desenvolvimento das forças produtivas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(p.3)</w:t>
      </w:r>
    </w:p>
    <w:p w14:paraId="0ED17380" w14:textId="2EB335BB" w:rsidR="004E0D66" w:rsidRDefault="004E0D66" w:rsidP="00B549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O    ideário   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movimento escolanovista    se    coadunava    com    o    projeto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nacional-desenvolvimentista  liderado  pela  burguesia  nacional,  que,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para  se  afastar  das disputas  políticas,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colocava-se  envolta  no  manto  da  racionalização  administrativa,  cujas ações  envolviam  a  gestão  da  informação  para  tomada  de  decisões.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Ações  essas consubstanciadas  por  meio  da  criação  de  órgãos  assessores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em  diversas áreas,  como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Instituto   Nacional   do   Livro   (INL)1e   o   Instituto   Nacional   de   Estudos   e   Pesquisas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Educacionais Anísio Teixeira (INEP)2, agências que direta e indiretamente tiveram e têm relação com a questão do livro e das bibliotecas</w:t>
      </w:r>
      <w:r w:rsidR="00C5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D66">
        <w:rPr>
          <w:rFonts w:ascii="Times New Roman" w:hAnsi="Times New Roman" w:cs="Times New Roman"/>
          <w:sz w:val="24"/>
          <w:szCs w:val="24"/>
          <w:shd w:val="clear" w:color="auto" w:fill="FFFFFF"/>
        </w:rPr>
        <w:t>públicas e escolares.</w:t>
      </w:r>
    </w:p>
    <w:p w14:paraId="53227764" w14:textId="2D16E02D" w:rsidR="00C53D42" w:rsidRDefault="00C53D42" w:rsidP="00B549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961100" w14:textId="77777777" w:rsidR="00C53D42" w:rsidRDefault="00C53D42" w:rsidP="00B5491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C4DF8E" w14:textId="1E6CC50B" w:rsidR="00C53D42" w:rsidRDefault="00C53D42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3D42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C53D42">
        <w:rPr>
          <w:rFonts w:ascii="Times New Roman" w:eastAsia="Times New Roman" w:hAnsi="Times New Roman" w:cs="Times New Roman"/>
          <w:sz w:val="20"/>
          <w:szCs w:val="20"/>
          <w:lang w:eastAsia="pt-BR"/>
        </w:rPr>
        <w:t>O  INL  foi  o  órgão  responsável  pela  política  nacional  do  livro  e  das  bibliotecas  por  sessenta  anos.  Tinha como uma de suas finalidades incentivar a criação de bibliotecas públicas no Brasil. O órgão foi extintoem 1992, substituído pelo SNBP(Sistema Nacional de Bibliotecas Públicas).</w:t>
      </w:r>
    </w:p>
    <w:p w14:paraId="1E288D57" w14:textId="77777777" w:rsidR="00C53D42" w:rsidRDefault="00C53D42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5C22199" w14:textId="7C5160AC" w:rsidR="00C53D42" w:rsidRDefault="00C53D42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53D42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C53D42">
        <w:rPr>
          <w:rFonts w:ascii="Times New Roman" w:eastAsia="Times New Roman" w:hAnsi="Times New Roman" w:cs="Times New Roman"/>
          <w:sz w:val="20"/>
          <w:szCs w:val="20"/>
          <w:lang w:eastAsia="pt-BR"/>
        </w:rPr>
        <w:t>O  INEP,durante  a  sua  história,recebeu  várias  denominações,  mas  mantendo  sempre  a  sigla  original: Instituto  Nacional  de  Pedagogia  (1937),  Instituto  Nacional  de  Estudos  Pedagógicos  (1938),  Instituto Nacional  de  Estudos  e  Pesquisas  Educacionais  (1972)  e,  em  2003,  Instituto  Nacional  de  Estudos  e Pesquisas Educacionais Anísio Teixeira.</w:t>
      </w:r>
    </w:p>
    <w:p w14:paraId="58F691C8" w14:textId="064383B2" w:rsidR="00DE3181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71FF590" w14:textId="501C9477" w:rsidR="00DE3181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787C6F" w14:textId="704A9B0B" w:rsidR="00DE3181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92AE469" w14:textId="7D89943D" w:rsidR="00DE3181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208F15B" w14:textId="4C1FFA03" w:rsidR="00DE3181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2F3DCF8" w14:textId="77777777" w:rsidR="00DE3181" w:rsidRDefault="00DE3181" w:rsidP="00C53D4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5EB49EF" w14:textId="77777777" w:rsidR="00DE3181" w:rsidRDefault="00DE3181" w:rsidP="00C53D4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D611712" w14:textId="0070E419" w:rsidR="00DE3181" w:rsidRPr="00966AF0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966AF0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2 EDUCACÃO NO BRASIL NO FINAL DO SÉCULO XIX E INÍCIO DO SÉCULO XX</w:t>
      </w:r>
    </w:p>
    <w:p w14:paraId="102AD1B3" w14:textId="55BB711B" w:rsidR="00DE3181" w:rsidRPr="00966AF0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2EEF1AD" w14:textId="77777777" w:rsidR="00DE3181" w:rsidRPr="00C53D42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92535D4" w14:textId="6B2BA82A" w:rsidR="00C53D42" w:rsidRPr="00C53D42" w:rsidRDefault="00DE3181" w:rsidP="00C53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No  início  do  século  XIX,  a educação  brasileira  ainda  respirava  os  resquícios  da educação   religiosad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e   corte   propedêutico, cujas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práticas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educativas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forjavam   uma educação  elementar  voltada  para  aalfabetização  das  classes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subalternas,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por  meio  da ação  do  professor  régio,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e  uma  educação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secundária  esuperior  direcionada àsclasses dominantes.”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“</w:t>
      </w:r>
      <w:r w:rsidRPr="00DE3181">
        <w:rPr>
          <w:rFonts w:ascii="Times New Roman" w:hAnsi="Times New Roman" w:cs="Times New Roman"/>
          <w:sz w:val="30"/>
          <w:szCs w:val="30"/>
          <w:shd w:val="clear" w:color="auto" w:fill="FFFFFF"/>
        </w:rPr>
        <w:t>A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base econômica agrário-exportadora não   via   a escolarização como   uma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prioridade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para   o   desenvolvimento   das   forças produtiva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s...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As  províncias mais  ricas  desenvolveram  uma  rede  de  ensino,  como</w:t>
      </w:r>
      <w:r w:rsid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ocorreu  em São  Paulo,  outras,</w:t>
      </w:r>
      <w:r w:rsid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no entanto,</w:t>
      </w:r>
      <w:r w:rsid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sem recursos</w:t>
      </w:r>
      <w:r w:rsid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financeiros,</w:t>
      </w:r>
      <w:r w:rsid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>pouco ou nada fizeram para ampliar suas escolas.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(p.3)</w:t>
      </w:r>
      <w:r w:rsidRPr="00DE3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71D6C7D" w14:textId="1CC95876" w:rsidR="00C53D42" w:rsidRDefault="00973808" w:rsidP="00973808">
      <w:pPr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 w:rsidRPr="00973808">
        <w:rPr>
          <w:rFonts w:ascii="Arial" w:hAnsi="Arial" w:cs="Arial"/>
          <w:sz w:val="24"/>
          <w:szCs w:val="24"/>
          <w:shd w:val="clear" w:color="auto" w:fill="FFFFFF"/>
        </w:rPr>
        <w:t>A  criação  de  bibliotecas  escolares,  no  sentido  hoje  entendido,  começou  a acontecer  no  país  com  a  fundação  das  escolas  normais.  A  primeira  a  ser criada foi  a  Biblioteca  da  Escola  Normal  Caetano  de  Campos,  São  Paulo, em  30  de  junho  de  1880  e,  anos  depois,  em16  de  junho  de  1894, inaugura-se  a  Biblioteca  do  Ginásio  do  Estado  da  Capital  [...] (VALIO, 1990, p.18)</w:t>
      </w:r>
    </w:p>
    <w:p w14:paraId="12D2C3BB" w14:textId="77777777" w:rsidR="00973808" w:rsidRDefault="00973808" w:rsidP="00973808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73537876" w14:textId="344CEDC0" w:rsidR="00973808" w:rsidRDefault="00973808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>“nas décadas de 70 e 80 do século XIX,tivemos uma intensa   movimentação   de   ideias no   campo   político,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>econômico   e   ideológico com profundas  repercussões  no  setor  educacional... a difusão do ensino ou das ‘luzes’, como se dizia,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(passou) </w:t>
      </w:r>
      <w:r w:rsidRP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>a ser encarada como indispensável ao desenvolvimento social e econômico da nação [...]”(TANURI, 2000, p.66)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649A8EF" w14:textId="23E937DA" w:rsidR="00973808" w:rsidRDefault="00973808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808">
        <w:rPr>
          <w:rFonts w:ascii="Times New Roman" w:hAnsi="Times New Roman" w:cs="Times New Roman"/>
          <w:sz w:val="24"/>
          <w:szCs w:val="24"/>
          <w:shd w:val="clear" w:color="auto" w:fill="FFFFFF"/>
        </w:rPr>
        <w:t>Essa nova ideologiaobjetivavaunir o trabalho à educação, em troca da formação do cidadão-eleitor. Políticos,  como  Rui  Barbosa,  enfatizavam  que a sociedade  brasileira deveria  iniciare desenvolver  a  cultura  do  voto, fato  que  nos  diferenciaria  como  um povo livre.  As  reformas  educacionais  postuladas  por  Rui  Barbosa  possuíam  o  caráter  de ensinar o homem a votar</w:t>
      </w:r>
    </w:p>
    <w:p w14:paraId="45106A01" w14:textId="34314087" w:rsidR="00A76861" w:rsidRDefault="00A76861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“Essa tendência se expressa nas reformas educacionais de então, por meio das quais os liberais tentaram se desvencilhar do passado escravocrata, realçando o  tempo  presente  como  manifestação  da  modernidade.  Desprezavam-se  as  ações  do “antigo regime” e propagavam novas práticas de ensino, entre elas, aquelas que incluíam a difusão do livro e da biblioteca”p. 4</w:t>
      </w:r>
    </w:p>
    <w:p w14:paraId="60855495" w14:textId="0C562FF1" w:rsidR="00A76861" w:rsidRDefault="00A76861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A instauração da República, em 1889, fezaflorar um projeto de nação que procurou negar suas raízes agrárias e escravistas, contraditoriamente perpetuada pelas oligarquias regionais. Nesse contexto,um novo ator começa a despontar: a escola pública enquanto valor  universal,  face  à  necessidade  da  formação  para  o  trabalho  urbano-industrial;a  necessidade  de  alfabetizar  o  eleitor,  visando  retirar  das  oligarquias  agrárias  o  controle dos estados. Uma nova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rede de informação estruturava-se em vista dos novos contornos sociopolíticos e econômicos em curso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p.5</w:t>
      </w:r>
    </w:p>
    <w:p w14:paraId="0E005208" w14:textId="3D57B866" w:rsidR="00A76861" w:rsidRDefault="00A76861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4A036F" w14:textId="5772A61E" w:rsidR="00A76861" w:rsidRDefault="00A76861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5BC335" w14:textId="1F1630B9" w:rsidR="00A76861" w:rsidRPr="00966AF0" w:rsidRDefault="00A76861" w:rsidP="0097380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A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2.1 Escola e biblioteca: as reformas liberais na educação</w:t>
      </w:r>
    </w:p>
    <w:p w14:paraId="3157E30E" w14:textId="7A3DA247" w:rsidR="00A76861" w:rsidRDefault="00A76861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A768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Para a biblioteca escolar brasileira, o século XX foi muito promissor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. Nesse momento,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ela  se  distingue  como  participante  do  movimento  político  pedagógico  e  aproxima-se do conceito de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“recurso pedagógico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” tal como a conhecemos hoje. Eggert-Steindel e Fonseca (2010)   apontam que as   primeiras   décadas   desse   século   foram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cruciaisparao desenvolvimento  da biblioteca  escolar e destacam  alguns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agentes  que  foram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importantes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para tirar a biblioteca da penumbra e inseri-la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no contexto das políticas pedagógicas, como o movimento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6861">
        <w:rPr>
          <w:rFonts w:ascii="Times New Roman" w:hAnsi="Times New Roman" w:cs="Times New Roman"/>
          <w:sz w:val="24"/>
          <w:szCs w:val="24"/>
          <w:shd w:val="clear" w:color="auto" w:fill="FFFFFF"/>
        </w:rPr>
        <w:t>da Escola Nova.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p.5 (grifos nossos)</w:t>
      </w:r>
    </w:p>
    <w:p w14:paraId="301595CB" w14:textId="71F18037" w:rsidR="00F82004" w:rsidRDefault="00F82004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Nesse  contexto,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a  institucionalização  da  biblioteca  escolar,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como  instrumento  de estímulo ao aprendizado e àleitura, surge como uma necessidade inexorável,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passando a ser vista  como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um  recurso a  auxiliar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no  processo  de  educação  formal  (CAMPELLO, 2008)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p.6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Para os seus idealizadores“[...] ensino e biblioteca não se excluem, completam-se. Uma escola sem biblioteca é instrumento imperfeito” (LOURENÇO FILHO, 1946, p.4)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p.6 As reformas oitocentistas, “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previam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04">
        <w:rPr>
          <w:rFonts w:ascii="Times New Roman" w:hAnsi="Times New Roman" w:cs="Times New Roman"/>
          <w:sz w:val="24"/>
          <w:szCs w:val="24"/>
          <w:shd w:val="clear" w:color="auto" w:fill="FFFFFF"/>
        </w:rPr>
        <w:t>a criação  de  bibliotecas,  mas  restringiam-nas  à  instrução dos  professores,  vindo  apenas  a ser  citadas  como“[...] ambiente  integrante  nos  grupos  escolares  depois  da  década  de 1920” (MARTINS; REIS, 2016, p.205), com a radicalização do debate promovido pelos reformadores  da educação nova.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P.6</w:t>
      </w:r>
    </w:p>
    <w:p w14:paraId="58D0B5CA" w14:textId="15BEF1B8" w:rsidR="00AC5137" w:rsidRDefault="00AC5137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137">
        <w:rPr>
          <w:rFonts w:ascii="Times New Roman" w:hAnsi="Times New Roman" w:cs="Times New Roman"/>
          <w:sz w:val="30"/>
          <w:szCs w:val="30"/>
          <w:shd w:val="clear" w:color="auto" w:fill="FFFFFF"/>
        </w:rPr>
        <w:t>o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Manifesto  dos  Pioneiros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 1932,  também  conhecido  como Manifesto da Escola Nova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 considerado  um  documento basilar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para entendermos 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inclusão  da biblioteca  escolar nos fluxos de  informação do novo  regime  inaugurado  com  a  ascensão de Getulio Vargas ao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poder, cujo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projeto político envolvia mudanças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não só no modo de produção, mas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nos modos de pensar,educar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e governar.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No campo da educação, dentre muitos pontos apresentados no Manifesto, no Artigo VIII,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observa-se: VIII –Desenvolvimento das instituições de educação e de assistência física e  psíquica  à  criança  na  idade  pré-escolar  (creches,  escolas,  maternais  e jardins de infância) e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todas as instituições complementares pré-escolares e  pós-escolares.  [...]  Em  meio  a  um  dos  princípios  gerais  do  Manifesto, consta:  d)  e  para  a intensificação  e  extensão  da  obra  de  educação  e cultura  (bibliotecas  escolares)  fixas  ou  circulantes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(museus  escolares, rádio  e  cinema  educativo)  (MANIFESTO...  1932 apudAZEVEDO,  1932, p.124-125, destaque das autoras).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Nota-se  que  a  biblioteca  escolar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(fixa  ou  circulante)  é apresentada  como  parte  da política  educacional,  sendo  defendida  pelos  signatários  do  Manifesto como  uma  das instituições  complementares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5137">
        <w:rPr>
          <w:rFonts w:ascii="Times New Roman" w:hAnsi="Times New Roman" w:cs="Times New Roman"/>
          <w:sz w:val="24"/>
          <w:szCs w:val="24"/>
          <w:shd w:val="clear" w:color="auto" w:fill="FFFFFF"/>
        </w:rPr>
        <w:t>para  o  desenvolvimento da educação, “na pré-escola  e  na pós-escola” (MANIFESTO... 1932 apud AZEVEDO, 1932 p. 124)</w:t>
      </w:r>
    </w:p>
    <w:p w14:paraId="594BDA23" w14:textId="21A88BFA" w:rsidR="003F3FB0" w:rsidRDefault="003F3FB0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Ao abraçar um projeto industrialista... esta nova concepção de escola deveria valorizar a teoria e a prática “[...] como uma tentativa de superação da escola tradicional excessivamente   rígida,   magistrocêntrica   e   preocupada   com   a   memorização   dos conteúdos” (ARRUDA, 1989, p.20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p.8</w:t>
      </w:r>
    </w:p>
    <w:p w14:paraId="5A0EBA27" w14:textId="587E4BCA" w:rsidR="003F3FB0" w:rsidRDefault="003F3FB0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Diferente das reformas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oitocentistas,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que tinham como objetivo a alfabetização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com vista  a  ampliar  o  número  de  eleitores,  fragilizando  o  poder  das  oligarquias  regionais,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 projeto  liberal  de  educação  levado  a  cabo  pelos  escolanovistas  centrava-se  no fortalecimento  da  economia urbano-industrial,  procurando  se  afastar 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dos  atritos  com  as oligarquias  ainda  hegemônicas, reforçando,  de  um  lado,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a crítica  às  escolas  tradicionais propedêuticas; de  outro,</w:t>
      </w:r>
      <w:r w:rsidR="00321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B0">
        <w:rPr>
          <w:rFonts w:ascii="Times New Roman" w:hAnsi="Times New Roman" w:cs="Times New Roman"/>
          <w:sz w:val="24"/>
          <w:szCs w:val="24"/>
          <w:shd w:val="clear" w:color="auto" w:fill="FFFFFF"/>
        </w:rPr>
        <w:t>exaltando  o  conhecimento  técnico  e  sua contribuição  para  o desenvolvimento econômico</w:t>
      </w:r>
      <w:r w:rsidR="00700F1C">
        <w:rPr>
          <w:rFonts w:ascii="Times New Roman" w:hAnsi="Times New Roman" w:cs="Times New Roman"/>
          <w:sz w:val="24"/>
          <w:szCs w:val="24"/>
          <w:shd w:val="clear" w:color="auto" w:fill="FFFFFF"/>
        </w:rPr>
        <w:t>” p.8</w:t>
      </w:r>
    </w:p>
    <w:p w14:paraId="002E7BAC" w14:textId="034D5729" w:rsidR="00700F1C" w:rsidRDefault="00700F1C" w:rsidP="009738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Manifesto dos Pioneiros é uma  peça  política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00F1C">
        <w:rPr>
          <w:rFonts w:ascii="Times New Roman" w:hAnsi="Times New Roman" w:cs="Times New Roman"/>
          <w:sz w:val="24"/>
          <w:szCs w:val="24"/>
          <w:shd w:val="clear" w:color="auto" w:fill="FFFFFF"/>
        </w:rPr>
        <w:t>de  um  novo  regime  de  informação.  Seu  texto  tinha  o  propósito explícito  de  orientar  as  políticas  educativas  do  recém-criado  Ministério  da Educação  e Saúde. Porém,  mais  do que uma  carta de  intenções, o  Manifesto proclamava  e  indicava para o  governo a  necessidade de uma escola  renovada,  alinhada  como  os  princípios da ciência e da técnica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p.8</w:t>
      </w:r>
    </w:p>
    <w:p w14:paraId="617E5209" w14:textId="6C7CDEFB" w:rsidR="00700F1C" w:rsidRPr="00966AF0" w:rsidRDefault="00700F1C" w:rsidP="0097380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A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 O INL e o INEP: Educação, Biblioteca e Regime de Informação</w:t>
      </w:r>
    </w:p>
    <w:p w14:paraId="79E07FC8" w14:textId="67A4C603" w:rsidR="00E211B6" w:rsidRDefault="00700F1C" w:rsidP="00E211B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700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 lado  da  escola  pública, a  biblioteca  escolar,  </w:t>
      </w:r>
      <w:r w:rsidRPr="00700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entendida  como  equipamento pedagógico complementar</w:t>
      </w:r>
      <w:r w:rsidRPr="00700F1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00F1C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associava-se    a    outras    agências    que    despontavam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00F1C">
        <w:rPr>
          <w:rFonts w:ascii="Times New Roman" w:hAnsi="Times New Roman" w:cs="Times New Roman"/>
          <w:sz w:val="24"/>
          <w:szCs w:val="24"/>
          <w:shd w:val="clear" w:color="auto" w:fill="FFFFFF"/>
        </w:rPr>
        <w:t>para  consolidar  o novo  regime  de  informação instaurado  sob  a  égide  do  governo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F1C">
        <w:rPr>
          <w:rFonts w:ascii="Times New Roman" w:hAnsi="Times New Roman" w:cs="Times New Roman"/>
          <w:sz w:val="24"/>
          <w:szCs w:val="24"/>
          <w:shd w:val="clear" w:color="auto" w:fill="FFFFFF"/>
        </w:rPr>
        <w:t>Vargas,  como  o Instituto  Nacional  do  Livro  (INL) e o  Instituto  Nacional de  Pesquisas</w:t>
      </w:r>
      <w:r w:rsid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0F1C">
        <w:rPr>
          <w:rFonts w:ascii="Times New Roman" w:hAnsi="Times New Roman" w:cs="Times New Roman"/>
          <w:sz w:val="24"/>
          <w:szCs w:val="24"/>
          <w:shd w:val="clear" w:color="auto" w:fill="FFFFFF"/>
        </w:rPr>
        <w:t>Pedagógicas (INEP)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</w:t>
      </w:r>
      <w:r w:rsid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8-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  (</w:t>
      </w: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grifo nosso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AAD7C61" w14:textId="588D64C8" w:rsidR="00E211B6" w:rsidRDefault="00E211B6" w:rsidP="00E211B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 INL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foi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criado  em dezembro  de 1937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pelo  decreto  93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e entre suas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competências estavam: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a) organizar  e  publicar  a  Enciclopédia  Brasileira  e  o  Dicionário  da Língua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Nacional,  revendo-lhes  as  sucessivas  edições;  b)  editar  toda  sorte  de  obras  raras  ou preciosas, que sejam de grande interesse para a cultura nacional; c) promover as medidas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necessárias para aumentar, melhorar e baratear a edição de livros no país,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bem como para facilitar  a  importação  de  livros  estrangeiros;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d) incentivar  a  organização  e  auxiliar  a manutenção de bibliotecas públicas em todo o território nacional (BRASIL, 1937)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p.9  (grifo nosso).</w:t>
      </w:r>
    </w:p>
    <w:p w14:paraId="436036E8" w14:textId="7F1BF2F0" w:rsidR="00E211B6" w:rsidRDefault="00E211B6" w:rsidP="00E211B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Mário de  Andrade  envolveu-se  com  o  INL,  no  projeto  da  enciclopédia  nacional,e  defendia  as  bibliotecas  públicas  como  uma  das  instituições  mais  importantes  para  o desenvolvimento da cultura nacional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p.9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Segundo Gugliotta (2019),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>o INL não apenas se preocupou com a  criação  de bibliotecas  públicas como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organizou  campanhas  para  o  cadastramento  das bibliotecas  existentes,  assim  como  ofereceu  assistência  técnica  especializada  aos  seus profissionais. Mas, todo </w:t>
      </w: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esse esforço</w:t>
      </w:r>
      <w:r w:rsidRPr="00E2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torno do livro, primeiro, e de forma colateral em direção   às bibliotecas,   </w:t>
      </w: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não  foi   suficiente   para   desencadear  alguma   política   a   ser desenvolvida   especificamente   para essas   bibliotecas,   sejam elas públicas ou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 escolares, conforme nos chama a atenção Leitão (2010)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11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Oliveira (2019)</w:t>
      </w:r>
      <w:r w:rsidR="004C1C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6774014" w14:textId="5419E102" w:rsidR="003D7D50" w:rsidRPr="003D7D50" w:rsidRDefault="003D7D50" w:rsidP="003D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D50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Gugliotta (2019),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D7D50">
        <w:rPr>
          <w:rFonts w:ascii="Times New Roman" w:eastAsia="Times New Roman" w:hAnsi="Times New Roman" w:cs="Times New Roman"/>
          <w:sz w:val="24"/>
          <w:szCs w:val="24"/>
          <w:lang w:eastAsia="pt-BR"/>
        </w:rPr>
        <w:t>osprojetos pensados no INL em torno da valorização do livro  e da  leitura, “[...] serviram  para  demonstrar  que  o  Brasil  avançava  em  um  regime voltado  para  futuras  políticas  informacionais”.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D7D50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 cenário,  as bibliotecas  públicas receberam   uma   atenção   especial em   detrimento   das   escolares, sendo inclusive direcionadas“[...] para   atuarem   como   complemento   ao   processo   educacional   da população  brasileira”.Segundo o autor, “[...] o INL cumpriu sua função, tendo em vista q</w:t>
      </w:r>
      <w:r w:rsidRPr="003D7D50">
        <w:rPr>
          <w:rFonts w:ascii="Times New Roman" w:hAnsi="Times New Roman" w:cs="Times New Roman"/>
          <w:sz w:val="24"/>
          <w:szCs w:val="24"/>
          <w:shd w:val="clear" w:color="auto" w:fill="FFFFFF"/>
        </w:rPr>
        <w:t>ue  em 1938 foram  identificadas 78  bibliotecas  em todo o país  e em  1945  esse  número havia subido para 332” (GUGLIOTTA, 2019, p.41-43)</w:t>
      </w:r>
    </w:p>
    <w:p w14:paraId="10C84177" w14:textId="77777777" w:rsidR="003D7D50" w:rsidRDefault="003D7D50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43EBBA" w14:textId="1F08BE3D" w:rsidR="003D7D50" w:rsidRDefault="003D7D50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D50">
        <w:rPr>
          <w:rFonts w:ascii="Times New Roman" w:hAnsi="Times New Roman" w:cs="Times New Roman"/>
          <w:sz w:val="24"/>
          <w:szCs w:val="24"/>
          <w:shd w:val="clear" w:color="auto" w:fill="FFFFFF"/>
        </w:rPr>
        <w:t>O INEP era o “centro de cálculo”3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Pr="003D7D50">
        <w:rPr>
          <w:rFonts w:ascii="Times New Roman" w:hAnsi="Times New Roman" w:cs="Times New Roman"/>
          <w:sz w:val="24"/>
          <w:szCs w:val="24"/>
          <w:shd w:val="clear" w:color="auto" w:fill="FFFFFF"/>
        </w:rPr>
        <w:t>os serviços informacionais na área de educação, mantendo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 biblioteca  e  um  museu  voltados  para  asquestões  pedagógicas.  Além disso,  o  INEP  configurava-se  como  um  órgão  produtor  de  documentação </w:t>
      </w:r>
      <w:r w:rsidRPr="003D7D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para  a  difusão das ideais  escolanovistas,  além  de  manter umconstanteintercâmbio  com  os  outros órgãos,  dentre  esses  o Departamento  Administrativo  do  Serviço  Público  (DASP)</w:t>
      </w:r>
    </w:p>
    <w:p w14:paraId="2D76EC40" w14:textId="3EE4E585" w:rsidR="003D7D50" w:rsidRPr="00CE09DD" w:rsidRDefault="007103C0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3C0">
        <w:rPr>
          <w:rFonts w:ascii="Times New Roman" w:hAnsi="Times New Roman" w:cs="Times New Roman"/>
          <w:sz w:val="24"/>
          <w:szCs w:val="24"/>
          <w:shd w:val="clear" w:color="auto" w:fill="FFFFFF"/>
        </w:rPr>
        <w:t>Em  síntese:  além  de  proporem  a  laicidade  do  ensino  ea  ampliação  da  escola elementar como um direito subjetivo, o projeto escolanovista se espraiou,alimentando e se retroalimentando  do  projetonacional-desenvolvimentista  conduzido por  Vargas.Na  tarefa de  auxiliar  o  Estado napromoção  do  livro  e  da  educaçãono  Brasil apoioue  incentivoua criação  do INL  edo INEP,estimulando  essas instituições  a promoveremações  e acumulareminformação  sobre  os  mais  diversos  aspectos do  meio  cultural  eeducacional, assim como,  no  caso  do  INL,  auxiliar  na edição  e  distribuição  de  livroseimplantação  de bibliotecas;</w:t>
      </w:r>
      <w:r w:rsidR="00CE09DD" w:rsidRPr="00CE09D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(FERREIRA,</w:t>
      </w:r>
      <w:r w:rsid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2006; GUGLIOTTA, 2019)</w:t>
      </w:r>
      <w:r w:rsid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p.10</w:t>
      </w:r>
    </w:p>
    <w:p w14:paraId="6800AA1E" w14:textId="6A5913EA" w:rsidR="003D7D50" w:rsidRPr="00CE09DD" w:rsidRDefault="00CE09DD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As reformas de corteliberal,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no campo político-educacional,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iniciadas no final do século XIX e consolidadas no século XX,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e seu discurso em prol de um Brasil moderno e industrial revelam-nos, sob  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lentes  de  regime  de  informação,  que  houve um  fortalecimento na educação nacional,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favorecendo a biblioteca escolar como equipamento fundamental para o desenvolvimento da aprendizagem, ainda que de forma pragmática, como nos revela a fala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Lourenço  Filho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em  seus  escritos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sob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e  a  biblioteca  escolar,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sendo  sua  função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descrita como“[...]estimular,  coordenar  e  organizar  a  leitura[...],  orientar  os  leitores,  sugerir-lhes trabalhos, proporcionar-lhes melhores recursos de organização" (LOURENÇO FILHO, 1946,4).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Nota-se  que  sua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inserção  no  sistema  de  ensino  é  evidenciada  como  um  recurso  ou “equipamento” pedagógico,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e não como uma instituição social e cultural</w:t>
      </w:r>
      <w:r w:rsidRPr="00CE09DD">
        <w:rPr>
          <w:rFonts w:ascii="Arial" w:hAnsi="Arial" w:cs="Arial"/>
          <w:sz w:val="24"/>
          <w:szCs w:val="24"/>
          <w:shd w:val="clear" w:color="auto" w:fill="FFFFFF"/>
        </w:rPr>
        <w:t xml:space="preserve">.”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p.10</w:t>
      </w:r>
    </w:p>
    <w:p w14:paraId="07A8B41B" w14:textId="4B18A785" w:rsidR="00CE09DD" w:rsidRPr="00CE09DD" w:rsidRDefault="00CE09DD" w:rsidP="00CE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9DD">
        <w:rPr>
          <w:rFonts w:ascii="Times New Roman" w:eastAsia="Times New Roman" w:hAnsi="Times New Roman" w:cs="Times New Roman"/>
          <w:sz w:val="24"/>
          <w:szCs w:val="24"/>
          <w:lang w:eastAsia="pt-BR"/>
        </w:rPr>
        <w:t>Oliveira (2019),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E0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estudo recente sobre a universalização da biblioteca escolar no Brasil, em  que  analisou  a  produção  bibliográfica  de  pesquisadores e  bibliotecários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dois fóruns da área, o Encontro Nacional de Pesquisadores em Ciência da Informação(ENANCIB)  e  o Congresso  Brasileiro 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Biblioteconomia  e  Documentação  (CBBD), observou que aqueles que simpatizam com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causa, quando tratam da questão,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7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raramente pensam</w:t>
      </w:r>
      <w:r w:rsidR="00BB73BB" w:rsidRPr="00BB7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B7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biblioteca escolar como uma instituição social, mas como um lugar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; como se a biblioteca escolar fosse apenas espaço, lugar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onde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são    realizados serviços biblioteconômicos, atividades de leitura, ações com vista ao letramento informacional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r w:rsidR="00BB7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p.12  (</w:t>
      </w:r>
      <w:r w:rsidR="00BB73BB" w:rsidRPr="00BB7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grifo nosso</w:t>
      </w:r>
      <w:r w:rsidR="00BB73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5629808E" w14:textId="3A418B4A" w:rsidR="003D7D50" w:rsidRDefault="003D7D50" w:rsidP="00E211B6">
      <w:pPr>
        <w:pBdr>
          <w:bottom w:val="single" w:sz="12" w:space="1" w:color="auto"/>
        </w:pBd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895711" w14:textId="52DE286D" w:rsidR="003D7D50" w:rsidRDefault="003D7D50" w:rsidP="00E211B6">
      <w:pPr>
        <w:pBdr>
          <w:bottom w:val="single" w:sz="12" w:space="1" w:color="auto"/>
        </w:pBd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B31D4" w14:textId="77777777" w:rsidR="003D7D50" w:rsidRPr="003D7D50" w:rsidRDefault="003D7D50" w:rsidP="003D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D7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3Latour  (2000)  define  um  centro  de  cálculo  como  uma  instituição  central  com  recursos  para  reunir  e processar inscrições diversas vindas das periferias. Neste centro,as inscrições passam a ser padronizadas ecomparadas. Após esse trabalho, essas inscrições se ampliam e transformam-se em conhecimento sobre a  realidade  sendo  capazes  de  operarem  modificações  na  própria  realidade.  De  todas  as  informações geradas  pelo  INEP,  a  informação  estatística  se  colocava  no cenário  político  como  aquela  que  dava legitimidadeecredibilidade àsações por ser entendida como um discurso científico, imparcial, neutro. </w:t>
      </w:r>
    </w:p>
    <w:p w14:paraId="07C75872" w14:textId="0A0B9105" w:rsidR="003D7D50" w:rsidRDefault="003D7D50" w:rsidP="00E211B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6FE5714" w14:textId="77777777" w:rsidR="005F1E29" w:rsidRDefault="005F1E29" w:rsidP="00E211B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6C243CF" w14:textId="77777777" w:rsidR="005F1E29" w:rsidRDefault="005F1E29" w:rsidP="00E211B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9A9AEB" w14:textId="765F72C1" w:rsidR="00236BAD" w:rsidRPr="00966AF0" w:rsidRDefault="00236BAD" w:rsidP="00E211B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A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3. CONSIDERAÇÕES FINAIS</w:t>
      </w:r>
    </w:p>
    <w:p w14:paraId="78C71B0B" w14:textId="431A3F4B" w:rsidR="00236BAD" w:rsidRDefault="00E44B97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36BAD" w:rsidRPr="00236BAD">
        <w:rPr>
          <w:rFonts w:ascii="Times New Roman" w:hAnsi="Times New Roman" w:cs="Times New Roman"/>
          <w:sz w:val="24"/>
          <w:szCs w:val="24"/>
          <w:shd w:val="clear" w:color="auto" w:fill="FFFFFF"/>
        </w:rPr>
        <w:t>Como destaca González de Gómez (2002), o regime de informação é uma ferramenta teórica capaz de identificar fenômenos sociais em ascensão –como a escola pública e laica –possibilitando aproximá-los e relacioná-los com as questões informacionais que direta ou indiretamente</w:t>
      </w:r>
      <w:r w:rsidR="00236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BAD" w:rsidRPr="00236BAD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236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BAD" w:rsidRPr="00236BAD">
        <w:rPr>
          <w:rFonts w:ascii="Times New Roman" w:hAnsi="Times New Roman" w:cs="Times New Roman"/>
          <w:sz w:val="24"/>
          <w:szCs w:val="24"/>
          <w:shd w:val="clear" w:color="auto" w:fill="FFFFFF"/>
        </w:rPr>
        <w:t>envolvem.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P.12</w:t>
      </w:r>
    </w:p>
    <w:p w14:paraId="2C6FBE32" w14:textId="4DBDC50F" w:rsidR="00E44B97" w:rsidRPr="00E44B97" w:rsidRDefault="00E44B97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3222980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pode-se dizer que o discurso escolanovista  ressignificou  a  representação  da  biblioteca,  trazendo-a  para  o  centro  da escola, ainda que a entendesse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como um recurso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complementar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ao ensino-aprendizagem e não como  uma instituição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social,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educativa  e  cultural,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cuja  ação  não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se  restringe  ao apoio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ao curricular.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O  tom  desse discurso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pode  ser identificado na  narrativa pragmática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sobre a biblioteca como lugar para “[...] treinar as crianças em atividades sociais (clubes de  leitura  e dramatização,  autocontrole  dos  alunos  etc.) [...]”(MEIRELES,  1979 apud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MARTINS;   REIS,   2016,   p.236). Um   discurso   com   forte   influência   daquilo</w:t>
      </w:r>
      <w:r w:rsidR="005C7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que   os educadores liberais chamavam de “racionalidade técnica”,</w:t>
      </w:r>
      <w:r w:rsidR="005C7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que  atingia  a  escola e  seus equipamentos,c</w:t>
      </w:r>
      <w:r w:rsidR="005C7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omo a biblioteca escolar</w:t>
      </w:r>
      <w:r w:rsidR="009D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p.13</w:t>
      </w:r>
    </w:p>
    <w:p w14:paraId="62E37A32" w14:textId="62E82B89" w:rsidR="00E44B97" w:rsidRPr="009D4665" w:rsidRDefault="00E44B97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Em  um  contexto  como  os  anos  de  1930  em  que  a  modernização  do  Estado  é definida  por  sua  racionalidade  técnica, o  INL  e  INEP,  como  vimos, atuavam  como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agências  a  fim 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produzir  informações  para  um  novo sistema  sócio-político-econômico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se punha em cena, para o qual </w:t>
      </w:r>
      <w:r w:rsidRPr="00E44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 informação tornar-se-ia um item fundamental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>para a tomada de decisões com vista 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criação e à manutenção de um sistema público de ensino alinhado com os objetivos </w:t>
      </w:r>
      <w:r w:rsidRPr="00E44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 um novo projeto de Nação</w:t>
      </w:r>
      <w:r w:rsidRPr="00E4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44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que tinha a industrialização e a racionalização da gestão pública como um projeto </w:t>
      </w:r>
      <w:r w:rsidRPr="009D46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 Estado</w:t>
      </w:r>
      <w:r w:rsidRPr="009D4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1"/>
    <w:p w14:paraId="7FDAFFDB" w14:textId="77777777" w:rsidR="005C79DC" w:rsidRPr="005C79DC" w:rsidRDefault="005C79DC" w:rsidP="00E211B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823F594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</w:p>
    <w:p w14:paraId="611BA0FC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ARRUDA, Maria Aparecida(org.).Históriada educação. Belo Horizonte: Autêntica, 1989.AZEVEDO, Fernando. A Reconstrução educacional no Brasil: ao povo e ao governo. Manifesto dos pioneiros da educação nova. São Paulo: Nacional, 1932. Disponível em: http://www.dominiopublico.gov.br/download/texto/me4707.pdfAcesso em:10 de jun.de 2020.</w:t>
      </w:r>
    </w:p>
    <w:p w14:paraId="05BF7812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BRASIL. Decreto-lei nº93, de 21 de dezembro de 1937. Cria o Instituto Nacional do Livro [textoon line].Disponível em: https://www2.camara.leg.br/legin/fed/declei/1930-1939/decreto-lei-93-21-dezembro-1937-350842-publicacaooriginal-1-pe.htmlAcesso em: 10 de jun. 2020.</w:t>
      </w:r>
    </w:p>
    <w:p w14:paraId="7A92156B" w14:textId="7BFBCB9E" w:rsidR="004707C8" w:rsidRPr="004707C8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BRASIL. Decreto-lei nº580, de 30 de julho de 1938. Dispõe sobre a organização do Instituto Nacional de Estudos Pedagógicos[textoon line].Disponível em:http://download.inep.gov.br/acesso_a_informacao/base_juridica/decreto_lei_n580_30071938_instalacao_inep.pdf/Acesso em 10 de jun. 2020.</w:t>
      </w:r>
    </w:p>
    <w:p w14:paraId="334C99A2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DE PESQUISA E DOCUMENTAÇÃO DE HISTÓRIA CONTEMPORÂNEA DO BRASIL.Anos 20: questão social e reformas educacionais. Rio de Janeiro:CPDOC/FGV, 2018. Disponívelem:https://cpdoc.fgv.br/producao/dossies/AEraVargas1/anos20/QuestaoSocial/ReformasEducacionaisAcesso em: 3 de abril 2019.</w:t>
      </w:r>
    </w:p>
    <w:p w14:paraId="731E9442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DUARTE, Marisa R. Teixeira; SANTOS, Maria Rosimary S. dos. Sistema Nacional de Educação e Planejamento no Brasil.Rev. Bras. Educ., Rio de Janeiro, v.22, n.71, 2017. </w:t>
      </w: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Disponível em: http://www.scielo.br/scielo.php?script=sci_arttext&amp;pid=S1413-24782017000400225&amp;lng=en&amp;nrm=isoAcesso em 29 de jun. 2020.</w:t>
      </w:r>
    </w:p>
    <w:p w14:paraId="3885F56D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EGGERT-STEINDEL, Gisela e FONSECA, Caio Faria. A biblioteca escolar: participante da promoção da justiça e êxito escolar. In: VALLE, Ione Ribeiro; SILVA, Vera Lucia Gaspar da;DAROS, Maria das Dores Daros (org.). Florianópolis: Ed. UFSC, 2010.</w:t>
      </w:r>
    </w:p>
    <w:p w14:paraId="581CB443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FERREIRA, Márcia dos Santos. Centros de Pesquisas do INEP: pesquisa e política educacional entre as décadas de 1950 e 1970. 2006. 315f. Tese (Doutorado em Educação) –Faculdade de Educação, Universidade de São Paulo. São Paulo, 2006.</w:t>
      </w:r>
    </w:p>
    <w:p w14:paraId="02792C18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GONZÁLEZ DE GÓMEZ, Maria Nélida. Novos cenários políticos para a informação. Ciência e Informação, Brasília, v.31, n.1, p.27-40, jan./abr. 2002. Disponível emhttp://www.scielo.br/pdf/ci/v31n1/a04v31n1.pdfAcesso em 09 de set. 2020.</w:t>
      </w:r>
    </w:p>
    <w:p w14:paraId="180F5F03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GONZÁLEZ DE GÓMEZ, Maria Nélida; CHICANEL, Marize. As mudanças de regimes de informação e as variações tecnológicas. In: ENCONTRO NACIONAL DE PESQUISA EM CIÊNCIA DA INFORMAÇÃO, 9., 2008, São Paulo. Anais... São Paulo: USP, 2008.</w:t>
      </w:r>
    </w:p>
    <w:p w14:paraId="008E33AE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GONZÁLEZ DE GÓMEZ, Maria Nélida. Regime de Informação: construção de um conceito.Inf. &amp; Soc.: Est., João Pessoa, v.22, n.3, p.4360, set./dez.2012.</w:t>
      </w:r>
    </w:p>
    <w:p w14:paraId="317B2FC9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GUGLIOTTA, A. Da informação técnico-administrativa à científico-tecnológica: a influência do regime de informação estadocêntrico na formação do Instituto Brasileiro de Bibliografia e Documentação (IBBD).Niterói, 2019. Tese (Doutorado em Ciênciada Informação)–Universidade Federal Fluminense, Niterói, 2019.</w:t>
      </w:r>
    </w:p>
    <w:p w14:paraId="34A08424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LATOUR, Bruno. Redes que a razão desconhece: laboratórios, bibliotecas, coleções.In: BARATIN, Marc; JACOB, Christian (org). O poder das bibliotecas: a memória dos livros no ocidente. Rio de Janeiro: UFRJ, 2000. p.21-44.</w:t>
      </w:r>
    </w:p>
    <w:p w14:paraId="74BF9BB4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LEITÃO, Bárbara Júlia Menezello. A relação entre as bibliotecas públicas, bibliotecários e a censura na Era Vargas e Regime Militar: uma reflexão. Tese (doutorado em Ciência da Comunicação) –Universidade de São Paulo, São Paulo, 2010.</w:t>
      </w:r>
    </w:p>
    <w:p w14:paraId="2D8FD4C2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LEMOS,Antônio Agenor Briquet de. Bibliotecas. In: CAMPELLO, Bernadete Santos; CALDEIRA, Paulo da Terra Caldeira (org.). Introdução às fontes de informação. 2. ed. Belo Horizonte: Autêntica, 2008.</w:t>
      </w:r>
    </w:p>
    <w:p w14:paraId="4EE7DD7C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LOURENÇO FILHO, M. B. O ensino e a biblioteca. Rio de Janeiro: Imprensa Nacional, 1946.1a Conferência da Série “A educação e a biblioteca”, pronunciada na Biblioteca do DASP,em 05/07/1944.</w:t>
      </w:r>
    </w:p>
    <w:p w14:paraId="2420B3C8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MACHADO, Maria Cristina Gomes. O decreto de Leôncio de Carvalho e os Pareceres de Rui Barbosa em debate: a criação da escola para o povo no Brasil no século XIX. In: STEPHANOU, Maria; BASTOS, Maria Helena Camara. Histórias e memórias da educação no Brasil. Petrópolis, RJ: Vozes, v.2, p.91-103, 2011.</w:t>
      </w:r>
    </w:p>
    <w:p w14:paraId="6057F537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MARTINS, Marcus Vinicius Rodrigues. A biblioteca escolar no processo de escolarização da leitura no contexto do movimento Escola Nova: 1920-1940.2013.Dissertação (Mestrado em Ciência da Informação) –Universidade Federal de Minas Gerais, Belo Horizonte, 2013.</w:t>
      </w:r>
    </w:p>
    <w:p w14:paraId="514CAD5F" w14:textId="159DC33F" w:rsidR="004707C8" w:rsidRPr="004707C8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MENEZES, Ebenezer Takunode; SANTOS, Thais Helena dos. Verbete Manifesto dos Pioneiros da Educação Nova. In: DICIONÁRIO INTERATIVO DA EDUCAÇÃO BRASILEIRA –Educabrasil. São Paulo: Midiamix, 2001. Disponível em:http://www.educabrasil.com.br/manifesto-dos-pioneiros-da-educacao-nova/Acesso em:3 deabr.2019.</w:t>
      </w:r>
    </w:p>
    <w:p w14:paraId="6F7B1BCA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NUNES, C. Historiografia comparada da escola nova: algumas questões. Rev. Fac. Educ.,São Paulo, v.24, n.1, p.105-125, jan. 1998. Disponível em: </w:t>
      </w: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https://www.scielo.br/scielo.php?script=sci_arttext&amp;pid=S0102-25551998000100008Acesso em: 20 de set. 2020.</w:t>
      </w:r>
    </w:p>
    <w:p w14:paraId="70E24796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OLIVEIRA, Debora S. de. Biblioteca escolar e regime de informação: a lei n.12.244/2010 e a produção intelectual de pesquisadores e bibliotecários. 2019. Dissertação (Mestrado em Ciência da Informação) –Universidade Federal Fluminense, Niterói, 2019.</w:t>
      </w:r>
    </w:p>
    <w:p w14:paraId="651325C9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RIBEIRO, Maria Luisa Santos. História da educação brasileira: a organização escolar. Campinas, São Paulo: Autores Associados, 1998.</w:t>
      </w:r>
    </w:p>
    <w:p w14:paraId="75A4FB10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ROMANELLI, Otaíza de Oliveira. História da Educação no Brasil. Petrópolis, RJ: Vozes, 2012.</w:t>
      </w:r>
    </w:p>
    <w:p w14:paraId="284B7B84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ROTHEN, José Carlos.O Instituto Nacional de Estudos Pedagógicos: uma leitura da RBEP.R. Bras. Est. Pedag.,Brasília, v.86, n.212, p.189-224, jan./abr.2005.</w:t>
      </w:r>
    </w:p>
    <w:p w14:paraId="6EADFC8C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SCHUELER, Alessandra Frota Martinez de; MAGALDI, Ana Maria Bandeira de Mello. Educação escolar na primeira república: memória, história e perspectivas de pesquisa. Tempo [online].Niterói, vol.13, n.26, pp.32-55, 2009.</w:t>
      </w:r>
    </w:p>
    <w:p w14:paraId="5CC69FC9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SOUZA. Elisabete G. de. Relação trabalho-educação e questão social no Brasil:uma leitura do pensamento pedagógico da Confederação Nacional da Indústria –CNI (1930-2000). 2012. Tese (doutorado) –Universidade Estadual de Campinas, Faculdade de Educação. </w:t>
      </w:r>
    </w:p>
    <w:p w14:paraId="7981FAFA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TANURI, Leonor Maria. História da formação de professores. Revista Brasileira de Educação,Rio de Janeiro, n.14, p.61-88,maio/ago.2000.</w:t>
      </w:r>
    </w:p>
    <w:p w14:paraId="5928857B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TAVARES, Mariana Rodrigues. Editando a nação e escrevendo sua história: o Instituto Nacional do Livro e as disputas editoriais entre 1937-1991. Aedos,Porto Alegre,n.15, v.6, p.164-180, jul./dez. 2014.</w:t>
      </w:r>
    </w:p>
    <w:p w14:paraId="400A1D08" w14:textId="77777777" w:rsidR="004707C8" w:rsidRPr="005C79DC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TEIXEIRA, Anísio. O humanismo técnico. Boletim CBAI. Rio de Janeiro, v.8, n.2, p.1186-1187, 1954.</w:t>
      </w:r>
    </w:p>
    <w:p w14:paraId="05A3E6F6" w14:textId="0295988D" w:rsidR="004707C8" w:rsidRPr="004707C8" w:rsidRDefault="004707C8" w:rsidP="0047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07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VÁLIO, Else Benetti Marques. Biblioteca escolar: uma visão histórica.Transinformação, Campinas, SP, v.2, n.1, p.15-24, jan./abr.1990</w:t>
      </w:r>
    </w:p>
    <w:p w14:paraId="093613BD" w14:textId="77777777" w:rsidR="00E44B97" w:rsidRPr="005C79DC" w:rsidRDefault="00E44B97" w:rsidP="00E211B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44B97" w:rsidRPr="005C7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1143D"/>
    <w:multiLevelType w:val="hybridMultilevel"/>
    <w:tmpl w:val="A118B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1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53"/>
    <w:rsid w:val="00236BAD"/>
    <w:rsid w:val="00321633"/>
    <w:rsid w:val="00345353"/>
    <w:rsid w:val="003D7D50"/>
    <w:rsid w:val="003F3FB0"/>
    <w:rsid w:val="004707C8"/>
    <w:rsid w:val="004C1CB8"/>
    <w:rsid w:val="004C6479"/>
    <w:rsid w:val="004E0D66"/>
    <w:rsid w:val="005C79DC"/>
    <w:rsid w:val="005F174C"/>
    <w:rsid w:val="005F1E29"/>
    <w:rsid w:val="00700F1C"/>
    <w:rsid w:val="007103C0"/>
    <w:rsid w:val="00734CDC"/>
    <w:rsid w:val="0079401F"/>
    <w:rsid w:val="008E283A"/>
    <w:rsid w:val="00966AF0"/>
    <w:rsid w:val="00973808"/>
    <w:rsid w:val="009D4665"/>
    <w:rsid w:val="00A76861"/>
    <w:rsid w:val="00AC5137"/>
    <w:rsid w:val="00B54918"/>
    <w:rsid w:val="00BB73BB"/>
    <w:rsid w:val="00C53D42"/>
    <w:rsid w:val="00CE09DD"/>
    <w:rsid w:val="00DE3181"/>
    <w:rsid w:val="00E211B6"/>
    <w:rsid w:val="00E44B97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F3A5"/>
  <w15:chartTrackingRefBased/>
  <w15:docId w15:val="{6672A8EC-82E6-4D3A-AEB2-509CB45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3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2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2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80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8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7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3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3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8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2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4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2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8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43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6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9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8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es.souza@gmail.com.https://orcid.org/0000-0001-9707-6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nha.debora_oliveira@id.uff.br.https://orcid.org/0000-0001-5084-3936" TargetMode="External"/><Relationship Id="rId5" Type="http://schemas.openxmlformats.org/officeDocument/2006/relationships/hyperlink" Target="https://periodicos.furg.br/biblos/article/view/12107/88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4132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edmir perrotti</dc:creator>
  <cp:keywords/>
  <dc:description/>
  <cp:lastModifiedBy>edmir perrotti</cp:lastModifiedBy>
  <cp:revision>5</cp:revision>
  <cp:lastPrinted>2023-04-13T01:06:00Z</cp:lastPrinted>
  <dcterms:created xsi:type="dcterms:W3CDTF">2023-04-13T00:51:00Z</dcterms:created>
  <dcterms:modified xsi:type="dcterms:W3CDTF">2023-04-13T01:34:00Z</dcterms:modified>
</cp:coreProperties>
</file>