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E4" w:rsidRDefault="00DA01E4" w:rsidP="00310404">
      <w:pPr>
        <w:widowControl w:val="0"/>
        <w:jc w:val="both"/>
      </w:pPr>
    </w:p>
    <w:p w:rsidR="00DA01E4" w:rsidRPr="007F744A" w:rsidRDefault="00DA01E4" w:rsidP="00310404">
      <w:pPr>
        <w:widowControl w:val="0"/>
        <w:jc w:val="both"/>
        <w:rPr>
          <w:sz w:val="24"/>
          <w:szCs w:val="24"/>
        </w:rPr>
      </w:pPr>
      <w:r w:rsidRPr="007F744A">
        <w:rPr>
          <w:sz w:val="24"/>
          <w:szCs w:val="24"/>
        </w:rPr>
        <w:t xml:space="preserve">- </w:t>
      </w:r>
      <w:r>
        <w:rPr>
          <w:b/>
          <w:smallCaps/>
          <w:color w:val="984806" w:themeColor="accent6" w:themeShade="80"/>
          <w:sz w:val="24"/>
          <w:szCs w:val="24"/>
        </w:rPr>
        <w:t>Declarações Unilaterais de Vontade</w:t>
      </w:r>
      <w:r w:rsidRPr="007F744A">
        <w:rPr>
          <w:sz w:val="24"/>
          <w:szCs w:val="24"/>
        </w:rPr>
        <w:t xml:space="preserve">: </w:t>
      </w:r>
    </w:p>
    <w:p w:rsidR="00DA01E4" w:rsidRPr="007F744A" w:rsidRDefault="00DA01E4" w:rsidP="00310404">
      <w:pPr>
        <w:widowControl w:val="0"/>
        <w:jc w:val="both"/>
        <w:rPr>
          <w:sz w:val="24"/>
          <w:szCs w:val="24"/>
        </w:rPr>
      </w:pPr>
    </w:p>
    <w:p w:rsidR="00DA01E4" w:rsidRDefault="00DA01E4" w:rsidP="00310404">
      <w:pPr>
        <w:widowControl w:val="0"/>
        <w:jc w:val="both"/>
        <w:rPr>
          <w:sz w:val="24"/>
          <w:szCs w:val="24"/>
        </w:rPr>
      </w:pPr>
      <w:r w:rsidRPr="007F744A">
        <w:rPr>
          <w:sz w:val="24"/>
          <w:szCs w:val="24"/>
        </w:rPr>
        <w:t xml:space="preserve">- </w:t>
      </w:r>
      <w:r w:rsidRPr="00B86FA3">
        <w:rPr>
          <w:b/>
          <w:color w:val="4F6228" w:themeColor="accent3" w:themeShade="80"/>
          <w:sz w:val="24"/>
          <w:szCs w:val="24"/>
        </w:rPr>
        <w:t>Fundamento</w:t>
      </w:r>
      <w:r>
        <w:rPr>
          <w:sz w:val="24"/>
          <w:szCs w:val="24"/>
        </w:rPr>
        <w:t xml:space="preserve">: declaração de vontade pública, como fonte de obrigações. </w:t>
      </w:r>
    </w:p>
    <w:p w:rsidR="009D7CA3" w:rsidRDefault="009D7CA3" w:rsidP="00310404">
      <w:pPr>
        <w:widowControl w:val="0"/>
        <w:jc w:val="both"/>
        <w:rPr>
          <w:sz w:val="24"/>
          <w:szCs w:val="24"/>
        </w:rPr>
      </w:pPr>
    </w:p>
    <w:p w:rsidR="009D7CA3" w:rsidRDefault="009D7CA3" w:rsidP="00310404">
      <w:pPr>
        <w:widowControl w:val="0"/>
        <w:jc w:val="both"/>
        <w:rPr>
          <w:sz w:val="24"/>
          <w:szCs w:val="24"/>
        </w:rPr>
      </w:pPr>
      <w:r>
        <w:rPr>
          <w:sz w:val="24"/>
          <w:szCs w:val="24"/>
        </w:rPr>
        <w:t>Baseiam-se em negócios jurídicos unilaterais, nos quais há somente uma manifestação da vontade, ou em que, havendo várias delas, todas têm o mesmo conteúdo, sendo concorrentes ou paralelas.</w:t>
      </w:r>
    </w:p>
    <w:p w:rsidR="00DA01E4" w:rsidRDefault="00DA01E4" w:rsidP="00310404">
      <w:pPr>
        <w:widowControl w:val="0"/>
        <w:jc w:val="both"/>
        <w:rPr>
          <w:sz w:val="24"/>
          <w:szCs w:val="24"/>
        </w:rPr>
      </w:pPr>
    </w:p>
    <w:p w:rsidR="00DA01E4" w:rsidRDefault="00DA01E4" w:rsidP="00310404">
      <w:pPr>
        <w:widowControl w:val="0"/>
        <w:jc w:val="both"/>
        <w:rPr>
          <w:sz w:val="24"/>
          <w:szCs w:val="24"/>
        </w:rPr>
      </w:pPr>
      <w:r>
        <w:rPr>
          <w:sz w:val="24"/>
          <w:szCs w:val="24"/>
        </w:rPr>
        <w:t>- Casos excepcionais, que devem ser antecipadamente previstos por lei.</w:t>
      </w:r>
    </w:p>
    <w:p w:rsidR="00DA01E4" w:rsidRDefault="00DA01E4" w:rsidP="00310404">
      <w:pPr>
        <w:widowControl w:val="0"/>
        <w:jc w:val="both"/>
        <w:rPr>
          <w:sz w:val="24"/>
          <w:szCs w:val="24"/>
        </w:rPr>
      </w:pPr>
    </w:p>
    <w:p w:rsidR="004C57CB" w:rsidRDefault="004C57CB" w:rsidP="00310404">
      <w:pPr>
        <w:widowControl w:val="0"/>
        <w:jc w:val="both"/>
        <w:rPr>
          <w:sz w:val="24"/>
          <w:szCs w:val="24"/>
        </w:rPr>
      </w:pPr>
      <w:r>
        <w:rPr>
          <w:sz w:val="24"/>
          <w:szCs w:val="24"/>
        </w:rPr>
        <w:t>- Vincula-se a casos restritos, quais sejam:</w:t>
      </w:r>
    </w:p>
    <w:p w:rsidR="004C57CB" w:rsidRDefault="004C57CB" w:rsidP="00310404">
      <w:pPr>
        <w:widowControl w:val="0"/>
        <w:jc w:val="both"/>
        <w:rPr>
          <w:sz w:val="24"/>
          <w:szCs w:val="24"/>
        </w:rPr>
      </w:pPr>
    </w:p>
    <w:p w:rsidR="004C57CB" w:rsidRDefault="004C57CB" w:rsidP="00310404">
      <w:pPr>
        <w:widowControl w:val="0"/>
        <w:jc w:val="both"/>
        <w:rPr>
          <w:sz w:val="24"/>
          <w:szCs w:val="24"/>
        </w:rPr>
      </w:pPr>
      <w:r>
        <w:rPr>
          <w:sz w:val="24"/>
          <w:szCs w:val="24"/>
        </w:rPr>
        <w:t>a) títulos ao portador;</w:t>
      </w:r>
    </w:p>
    <w:p w:rsidR="004C57CB" w:rsidRDefault="004C57CB" w:rsidP="00310404">
      <w:pPr>
        <w:widowControl w:val="0"/>
        <w:jc w:val="both"/>
        <w:rPr>
          <w:sz w:val="24"/>
          <w:szCs w:val="24"/>
        </w:rPr>
      </w:pPr>
    </w:p>
    <w:p w:rsidR="004C57CB" w:rsidRDefault="004C57CB" w:rsidP="00310404">
      <w:pPr>
        <w:widowControl w:val="0"/>
        <w:jc w:val="both"/>
        <w:rPr>
          <w:sz w:val="24"/>
          <w:szCs w:val="24"/>
        </w:rPr>
      </w:pPr>
      <w:r>
        <w:rPr>
          <w:sz w:val="24"/>
          <w:szCs w:val="24"/>
        </w:rPr>
        <w:t>b) promessa de recompensa;</w:t>
      </w:r>
    </w:p>
    <w:p w:rsidR="004C57CB" w:rsidRDefault="004C57CB" w:rsidP="00310404">
      <w:pPr>
        <w:widowControl w:val="0"/>
        <w:jc w:val="both"/>
        <w:rPr>
          <w:sz w:val="24"/>
          <w:szCs w:val="24"/>
        </w:rPr>
      </w:pPr>
    </w:p>
    <w:p w:rsidR="009D7CA3" w:rsidRDefault="004C57CB" w:rsidP="00310404">
      <w:pPr>
        <w:widowControl w:val="0"/>
        <w:jc w:val="both"/>
        <w:rPr>
          <w:sz w:val="24"/>
          <w:szCs w:val="24"/>
        </w:rPr>
      </w:pPr>
      <w:r>
        <w:rPr>
          <w:sz w:val="24"/>
          <w:szCs w:val="24"/>
        </w:rPr>
        <w:t>c) fundação</w:t>
      </w:r>
      <w:r w:rsidR="009D7CA3">
        <w:rPr>
          <w:sz w:val="24"/>
          <w:szCs w:val="24"/>
        </w:rPr>
        <w:t>;</w:t>
      </w:r>
    </w:p>
    <w:p w:rsidR="009D7CA3" w:rsidRDefault="009D7CA3" w:rsidP="00310404">
      <w:pPr>
        <w:widowControl w:val="0"/>
        <w:jc w:val="both"/>
        <w:rPr>
          <w:sz w:val="24"/>
          <w:szCs w:val="24"/>
        </w:rPr>
      </w:pPr>
    </w:p>
    <w:p w:rsidR="009D7CA3" w:rsidRDefault="009D7CA3" w:rsidP="00310404">
      <w:pPr>
        <w:widowControl w:val="0"/>
        <w:jc w:val="both"/>
        <w:rPr>
          <w:sz w:val="24"/>
          <w:szCs w:val="24"/>
        </w:rPr>
      </w:pPr>
      <w:r>
        <w:rPr>
          <w:sz w:val="24"/>
          <w:szCs w:val="24"/>
        </w:rPr>
        <w:t>d) confissão de dívida;</w:t>
      </w:r>
    </w:p>
    <w:p w:rsidR="009D7CA3" w:rsidRDefault="009D7CA3" w:rsidP="00310404">
      <w:pPr>
        <w:widowControl w:val="0"/>
        <w:jc w:val="both"/>
        <w:rPr>
          <w:sz w:val="24"/>
          <w:szCs w:val="24"/>
        </w:rPr>
      </w:pPr>
    </w:p>
    <w:p w:rsidR="004C57CB" w:rsidRDefault="009D7CA3" w:rsidP="00310404">
      <w:pPr>
        <w:widowControl w:val="0"/>
        <w:jc w:val="both"/>
        <w:rPr>
          <w:sz w:val="24"/>
          <w:szCs w:val="24"/>
        </w:rPr>
      </w:pPr>
      <w:r>
        <w:rPr>
          <w:sz w:val="24"/>
          <w:szCs w:val="24"/>
        </w:rPr>
        <w:t>e) concursos públicos</w:t>
      </w:r>
      <w:r w:rsidR="004C57CB">
        <w:rPr>
          <w:sz w:val="24"/>
          <w:szCs w:val="24"/>
        </w:rPr>
        <w:t xml:space="preserve">. </w:t>
      </w:r>
    </w:p>
    <w:p w:rsidR="004C57CB" w:rsidRDefault="004C57CB" w:rsidP="00310404">
      <w:pPr>
        <w:widowControl w:val="0"/>
        <w:jc w:val="both"/>
        <w:rPr>
          <w:sz w:val="24"/>
          <w:szCs w:val="24"/>
        </w:rPr>
      </w:pPr>
    </w:p>
    <w:p w:rsidR="004C57CB" w:rsidRDefault="004C57CB" w:rsidP="00310404">
      <w:pPr>
        <w:widowControl w:val="0"/>
        <w:jc w:val="both"/>
        <w:rPr>
          <w:sz w:val="24"/>
          <w:szCs w:val="24"/>
        </w:rPr>
      </w:pPr>
      <w:r>
        <w:rPr>
          <w:sz w:val="24"/>
          <w:szCs w:val="24"/>
        </w:rPr>
        <w:t>- A obrigação não nasceria da promessa feita, mas sim da previsão legal de que a declaração feita, sob certas circunstâncias, bastaria para gerar a referida obrigação.</w:t>
      </w:r>
    </w:p>
    <w:p w:rsidR="004C57CB" w:rsidRDefault="004C57CB" w:rsidP="00310404">
      <w:pPr>
        <w:widowControl w:val="0"/>
        <w:jc w:val="both"/>
        <w:rPr>
          <w:sz w:val="24"/>
          <w:szCs w:val="24"/>
        </w:rPr>
      </w:pPr>
    </w:p>
    <w:p w:rsidR="004C57CB" w:rsidRDefault="004C57CB" w:rsidP="00310404">
      <w:pPr>
        <w:widowControl w:val="0"/>
        <w:jc w:val="both"/>
        <w:rPr>
          <w:sz w:val="24"/>
          <w:szCs w:val="24"/>
        </w:rPr>
      </w:pPr>
      <w:r>
        <w:rPr>
          <w:sz w:val="24"/>
          <w:szCs w:val="24"/>
        </w:rPr>
        <w:t>- Estão previstas, no Código Civil Brasileiro, entre os artigos 854 e 886 (gestão de negócios, pagamento indevido, enriquecimento sem causa e promessa de recompensa).</w:t>
      </w:r>
    </w:p>
    <w:p w:rsidR="004C57CB" w:rsidRDefault="004C57CB" w:rsidP="00310404">
      <w:pPr>
        <w:widowControl w:val="0"/>
        <w:jc w:val="both"/>
        <w:rPr>
          <w:sz w:val="24"/>
          <w:szCs w:val="24"/>
        </w:rPr>
      </w:pPr>
    </w:p>
    <w:p w:rsidR="004C57CB" w:rsidRPr="00B86FA3" w:rsidRDefault="004C57CB" w:rsidP="00310404">
      <w:pPr>
        <w:widowControl w:val="0"/>
        <w:jc w:val="both"/>
        <w:rPr>
          <w:b/>
          <w:color w:val="943634" w:themeColor="accent2" w:themeShade="BF"/>
          <w:sz w:val="24"/>
          <w:szCs w:val="24"/>
          <w:u w:val="single"/>
        </w:rPr>
      </w:pPr>
      <w:r w:rsidRPr="00B86FA3">
        <w:rPr>
          <w:color w:val="943634" w:themeColor="accent2" w:themeShade="BF"/>
          <w:sz w:val="24"/>
          <w:szCs w:val="24"/>
        </w:rPr>
        <w:t xml:space="preserve">- </w:t>
      </w:r>
      <w:r w:rsidRPr="00B86FA3">
        <w:rPr>
          <w:b/>
          <w:color w:val="943634" w:themeColor="accent2" w:themeShade="BF"/>
          <w:sz w:val="24"/>
          <w:szCs w:val="24"/>
          <w:u w:val="single"/>
        </w:rPr>
        <w:t>Promessa de Recompensa.</w:t>
      </w:r>
    </w:p>
    <w:p w:rsidR="004C57CB" w:rsidRDefault="004C57CB" w:rsidP="00310404">
      <w:pPr>
        <w:widowControl w:val="0"/>
        <w:jc w:val="both"/>
        <w:rPr>
          <w:b/>
          <w:sz w:val="24"/>
          <w:szCs w:val="24"/>
        </w:rPr>
      </w:pPr>
    </w:p>
    <w:p w:rsidR="004C57CB" w:rsidRDefault="004C57CB" w:rsidP="00310404">
      <w:pPr>
        <w:widowControl w:val="0"/>
        <w:jc w:val="both"/>
        <w:rPr>
          <w:sz w:val="24"/>
          <w:szCs w:val="24"/>
        </w:rPr>
      </w:pPr>
      <w:r>
        <w:rPr>
          <w:sz w:val="24"/>
          <w:szCs w:val="24"/>
        </w:rPr>
        <w:t xml:space="preserve">- </w:t>
      </w:r>
      <w:r w:rsidR="00861E7D" w:rsidRPr="00861E7D">
        <w:rPr>
          <w:b/>
          <w:sz w:val="24"/>
          <w:szCs w:val="24"/>
        </w:rPr>
        <w:t>Definição</w:t>
      </w:r>
      <w:r w:rsidR="00861E7D">
        <w:rPr>
          <w:sz w:val="24"/>
          <w:szCs w:val="24"/>
        </w:rPr>
        <w:t>: m</w:t>
      </w:r>
      <w:r>
        <w:rPr>
          <w:sz w:val="24"/>
          <w:szCs w:val="24"/>
        </w:rPr>
        <w:t xml:space="preserve">ediante anúncio público, pode alguém prometer recompensa ou gratificação a quem preencha certa condição ou desempenhe determinado serviço. Tal promessa cria, por </w:t>
      </w:r>
      <w:r>
        <w:rPr>
          <w:i/>
          <w:sz w:val="24"/>
          <w:szCs w:val="24"/>
        </w:rPr>
        <w:t xml:space="preserve">declaração unilateral de vontade, </w:t>
      </w:r>
      <w:r>
        <w:rPr>
          <w:sz w:val="24"/>
          <w:szCs w:val="24"/>
        </w:rPr>
        <w:t>a obrigação de recompensar ou de gratificar.</w:t>
      </w:r>
    </w:p>
    <w:p w:rsidR="004C57CB" w:rsidRDefault="004C57CB" w:rsidP="00310404">
      <w:pPr>
        <w:widowControl w:val="0"/>
        <w:jc w:val="both"/>
        <w:rPr>
          <w:sz w:val="24"/>
          <w:szCs w:val="24"/>
        </w:rPr>
      </w:pPr>
    </w:p>
    <w:p w:rsidR="004C57CB" w:rsidRDefault="004C57CB" w:rsidP="00310404">
      <w:pPr>
        <w:widowControl w:val="0"/>
        <w:jc w:val="both"/>
        <w:rPr>
          <w:sz w:val="24"/>
          <w:szCs w:val="24"/>
        </w:rPr>
      </w:pPr>
      <w:r>
        <w:rPr>
          <w:sz w:val="24"/>
          <w:szCs w:val="24"/>
        </w:rPr>
        <w:t xml:space="preserve">- </w:t>
      </w:r>
      <w:r w:rsidRPr="00B86FA3">
        <w:rPr>
          <w:b/>
          <w:color w:val="548DD4" w:themeColor="text2" w:themeTint="99"/>
          <w:sz w:val="24"/>
          <w:szCs w:val="24"/>
        </w:rPr>
        <w:t>Requisitos exigidos</w:t>
      </w:r>
      <w:r w:rsidRPr="00861E7D">
        <w:rPr>
          <w:b/>
          <w:sz w:val="24"/>
          <w:szCs w:val="24"/>
        </w:rPr>
        <w:t>:</w:t>
      </w:r>
      <w:r>
        <w:rPr>
          <w:sz w:val="24"/>
          <w:szCs w:val="24"/>
        </w:rPr>
        <w:t xml:space="preserve"> promitente deve ser pessoa capaz e a promessa ter objeto possível e lícito.</w:t>
      </w:r>
      <w:r w:rsidR="00AE493E">
        <w:rPr>
          <w:sz w:val="24"/>
          <w:szCs w:val="24"/>
        </w:rPr>
        <w:t xml:space="preserve"> A promessa deve ter sido pública, sendo feita a credor incerto.</w:t>
      </w:r>
    </w:p>
    <w:p w:rsidR="00CF7563" w:rsidRDefault="00CF7563" w:rsidP="00310404">
      <w:pPr>
        <w:widowControl w:val="0"/>
        <w:jc w:val="both"/>
        <w:rPr>
          <w:sz w:val="24"/>
          <w:szCs w:val="24"/>
        </w:rPr>
      </w:pPr>
    </w:p>
    <w:p w:rsidR="00CF7563" w:rsidRDefault="00CF7563" w:rsidP="00310404">
      <w:pPr>
        <w:widowControl w:val="0"/>
        <w:jc w:val="both"/>
        <w:rPr>
          <w:sz w:val="24"/>
          <w:szCs w:val="24"/>
        </w:rPr>
      </w:pPr>
      <w:r>
        <w:rPr>
          <w:sz w:val="24"/>
          <w:szCs w:val="24"/>
        </w:rPr>
        <w:t xml:space="preserve">- </w:t>
      </w:r>
      <w:r w:rsidRPr="00B86FA3">
        <w:rPr>
          <w:b/>
          <w:color w:val="548DD4" w:themeColor="text2" w:themeTint="99"/>
          <w:sz w:val="24"/>
          <w:szCs w:val="24"/>
        </w:rPr>
        <w:t>Revogação da promessa de recompensa</w:t>
      </w:r>
      <w:r>
        <w:rPr>
          <w:sz w:val="24"/>
          <w:szCs w:val="24"/>
        </w:rPr>
        <w:t>: admitida em alguns casos, desde que antes de prestado o serviço ou preenchida a condição. A publicidade na revogação deve ser a mesma que tenha sido dada por ocasião da promessa.</w:t>
      </w:r>
    </w:p>
    <w:p w:rsidR="00CF7563" w:rsidRDefault="00CF7563" w:rsidP="00310404">
      <w:pPr>
        <w:widowControl w:val="0"/>
        <w:jc w:val="both"/>
        <w:rPr>
          <w:sz w:val="24"/>
          <w:szCs w:val="24"/>
        </w:rPr>
      </w:pPr>
    </w:p>
    <w:p w:rsidR="00861E7D" w:rsidRDefault="00861E7D" w:rsidP="00310404">
      <w:pPr>
        <w:widowControl w:val="0"/>
        <w:jc w:val="both"/>
        <w:rPr>
          <w:sz w:val="24"/>
          <w:szCs w:val="24"/>
        </w:rPr>
      </w:pPr>
      <w:r>
        <w:rPr>
          <w:sz w:val="24"/>
          <w:szCs w:val="24"/>
        </w:rPr>
        <w:tab/>
        <w:t>- A promessa não pode ser revogada quando o promitente houver fixado prazo para a execução da tarefa.</w:t>
      </w:r>
    </w:p>
    <w:p w:rsidR="007E65D3" w:rsidRDefault="007E65D3" w:rsidP="00310404">
      <w:pPr>
        <w:widowControl w:val="0"/>
        <w:jc w:val="both"/>
        <w:rPr>
          <w:sz w:val="24"/>
          <w:szCs w:val="24"/>
        </w:rPr>
      </w:pPr>
    </w:p>
    <w:p w:rsidR="007E65D3" w:rsidRDefault="007E65D3" w:rsidP="00310404">
      <w:pPr>
        <w:widowControl w:val="0"/>
        <w:jc w:val="both"/>
        <w:rPr>
          <w:sz w:val="24"/>
          <w:szCs w:val="24"/>
        </w:rPr>
      </w:pPr>
      <w:r>
        <w:rPr>
          <w:sz w:val="24"/>
          <w:szCs w:val="24"/>
        </w:rPr>
        <w:tab/>
        <w:t>- Exemplo de promessa de recompensa: concurso público.</w:t>
      </w:r>
    </w:p>
    <w:p w:rsidR="00CF7563" w:rsidRPr="004C57CB" w:rsidRDefault="00CF7563" w:rsidP="00310404">
      <w:pPr>
        <w:widowControl w:val="0"/>
        <w:jc w:val="both"/>
        <w:rPr>
          <w:sz w:val="24"/>
          <w:szCs w:val="24"/>
        </w:rPr>
      </w:pPr>
    </w:p>
    <w:p w:rsidR="004C57CB" w:rsidRDefault="004C57CB" w:rsidP="00310404">
      <w:pPr>
        <w:widowControl w:val="0"/>
        <w:jc w:val="both"/>
        <w:rPr>
          <w:sz w:val="24"/>
          <w:szCs w:val="24"/>
        </w:rPr>
      </w:pPr>
    </w:p>
    <w:p w:rsidR="00D5457B" w:rsidRDefault="00D5457B" w:rsidP="00310404">
      <w:pPr>
        <w:widowControl w:val="0"/>
        <w:jc w:val="both"/>
        <w:rPr>
          <w:b/>
          <w:smallCaps/>
          <w:color w:val="4F6228" w:themeColor="accent3" w:themeShade="80"/>
          <w:sz w:val="24"/>
          <w:szCs w:val="24"/>
          <w:u w:val="single"/>
        </w:rPr>
      </w:pPr>
    </w:p>
    <w:p w:rsidR="00D5457B" w:rsidRDefault="00D5457B" w:rsidP="00310404">
      <w:pPr>
        <w:widowControl w:val="0"/>
        <w:jc w:val="both"/>
        <w:rPr>
          <w:b/>
          <w:smallCaps/>
          <w:color w:val="4F6228" w:themeColor="accent3" w:themeShade="80"/>
          <w:sz w:val="24"/>
          <w:szCs w:val="24"/>
          <w:u w:val="single"/>
        </w:rPr>
      </w:pPr>
    </w:p>
    <w:p w:rsidR="009A4104" w:rsidRPr="00B86FA3" w:rsidRDefault="009A4104" w:rsidP="00310404">
      <w:pPr>
        <w:widowControl w:val="0"/>
        <w:jc w:val="both"/>
        <w:rPr>
          <w:color w:val="4F6228" w:themeColor="accent3" w:themeShade="80"/>
          <w:sz w:val="24"/>
          <w:szCs w:val="24"/>
        </w:rPr>
      </w:pPr>
      <w:r w:rsidRPr="00B86FA3">
        <w:rPr>
          <w:b/>
          <w:smallCaps/>
          <w:color w:val="4F6228" w:themeColor="accent3" w:themeShade="80"/>
          <w:sz w:val="24"/>
          <w:szCs w:val="24"/>
          <w:u w:val="single"/>
        </w:rPr>
        <w:lastRenderedPageBreak/>
        <w:t>- Pagamento Indevido</w:t>
      </w:r>
    </w:p>
    <w:p w:rsidR="009A4104" w:rsidRDefault="009A4104" w:rsidP="00310404">
      <w:pPr>
        <w:widowControl w:val="0"/>
        <w:jc w:val="both"/>
        <w:rPr>
          <w:sz w:val="24"/>
          <w:szCs w:val="24"/>
        </w:rPr>
      </w:pPr>
    </w:p>
    <w:p w:rsidR="009A4104" w:rsidRDefault="009A4104" w:rsidP="00310404">
      <w:pPr>
        <w:widowControl w:val="0"/>
        <w:jc w:val="both"/>
        <w:rPr>
          <w:sz w:val="24"/>
          <w:szCs w:val="24"/>
        </w:rPr>
      </w:pPr>
      <w:r>
        <w:rPr>
          <w:sz w:val="24"/>
          <w:szCs w:val="24"/>
        </w:rPr>
        <w:t xml:space="preserve">- Constitui fonte autônoma de obrigações. </w:t>
      </w:r>
    </w:p>
    <w:p w:rsidR="009A4104" w:rsidRDefault="009A4104" w:rsidP="00310404">
      <w:pPr>
        <w:widowControl w:val="0"/>
        <w:jc w:val="both"/>
        <w:rPr>
          <w:sz w:val="24"/>
          <w:szCs w:val="24"/>
        </w:rPr>
      </w:pPr>
    </w:p>
    <w:p w:rsidR="009A4104" w:rsidRDefault="009A4104" w:rsidP="00310404">
      <w:pPr>
        <w:widowControl w:val="0"/>
        <w:jc w:val="both"/>
        <w:rPr>
          <w:sz w:val="24"/>
          <w:szCs w:val="24"/>
        </w:rPr>
      </w:pPr>
      <w:r>
        <w:rPr>
          <w:sz w:val="24"/>
          <w:szCs w:val="24"/>
        </w:rPr>
        <w:t>- Conceito: todo aquele que recebeu o que lhe não era devido fica obrigado a restituir.</w:t>
      </w:r>
    </w:p>
    <w:p w:rsidR="009A4104" w:rsidRDefault="009A4104" w:rsidP="00310404">
      <w:pPr>
        <w:widowControl w:val="0"/>
        <w:jc w:val="both"/>
        <w:rPr>
          <w:sz w:val="24"/>
          <w:szCs w:val="24"/>
        </w:rPr>
      </w:pPr>
    </w:p>
    <w:p w:rsidR="009A4104" w:rsidRDefault="009A4104" w:rsidP="00310404">
      <w:pPr>
        <w:widowControl w:val="0"/>
        <w:jc w:val="both"/>
        <w:rPr>
          <w:sz w:val="24"/>
          <w:szCs w:val="24"/>
        </w:rPr>
      </w:pPr>
      <w:r>
        <w:rPr>
          <w:sz w:val="24"/>
          <w:szCs w:val="24"/>
        </w:rPr>
        <w:t>- Baseia-se no pagamento voluntário feito por erro.</w:t>
      </w:r>
    </w:p>
    <w:p w:rsidR="00266DFF" w:rsidRDefault="00266DFF" w:rsidP="00310404">
      <w:pPr>
        <w:widowControl w:val="0"/>
        <w:jc w:val="both"/>
        <w:rPr>
          <w:sz w:val="24"/>
          <w:szCs w:val="24"/>
        </w:rPr>
      </w:pPr>
    </w:p>
    <w:p w:rsidR="00266DFF" w:rsidRDefault="00266DFF" w:rsidP="00310404">
      <w:pPr>
        <w:widowControl w:val="0"/>
        <w:jc w:val="both"/>
        <w:rPr>
          <w:sz w:val="24"/>
          <w:szCs w:val="24"/>
        </w:rPr>
      </w:pPr>
      <w:r>
        <w:rPr>
          <w:sz w:val="24"/>
          <w:szCs w:val="24"/>
        </w:rPr>
        <w:t>- A despeito disso, a jurisprudência já o considerou "ato nulo".</w:t>
      </w:r>
    </w:p>
    <w:p w:rsidR="00266DFF" w:rsidRDefault="00266DFF" w:rsidP="00310404">
      <w:pPr>
        <w:widowControl w:val="0"/>
        <w:jc w:val="both"/>
        <w:rPr>
          <w:sz w:val="24"/>
          <w:szCs w:val="24"/>
        </w:rPr>
      </w:pPr>
    </w:p>
    <w:p w:rsidR="00266DFF" w:rsidRDefault="00033CA4" w:rsidP="00266DFF">
      <w:pPr>
        <w:widowControl w:val="0"/>
        <w:jc w:val="both"/>
        <w:rPr>
          <w:rFonts w:ascii="Arial" w:hAnsi="Arial" w:cs="Arial"/>
          <w:color w:val="202124"/>
          <w:shd w:val="clear" w:color="auto" w:fill="FFFFFF"/>
        </w:rPr>
      </w:pPr>
      <w:r>
        <w:rPr>
          <w:rFonts w:ascii="Arial" w:hAnsi="Arial" w:cs="Arial"/>
          <w:color w:val="202124"/>
          <w:shd w:val="clear" w:color="auto" w:fill="FFFFFF"/>
        </w:rPr>
        <w:t>“</w:t>
      </w:r>
      <w:r>
        <w:rPr>
          <w:rFonts w:ascii="Arial" w:hAnsi="Arial" w:cs="Arial"/>
          <w:b/>
          <w:bCs/>
          <w:color w:val="202124"/>
          <w:shd w:val="clear" w:color="auto" w:fill="FFFFFF"/>
        </w:rPr>
        <w:t>art</w:t>
      </w:r>
      <w:r>
        <w:rPr>
          <w:rFonts w:ascii="Arial" w:hAnsi="Arial" w:cs="Arial"/>
          <w:color w:val="202124"/>
          <w:shd w:val="clear" w:color="auto" w:fill="FFFFFF"/>
        </w:rPr>
        <w:t>. </w:t>
      </w:r>
      <w:r>
        <w:rPr>
          <w:rFonts w:ascii="Arial" w:hAnsi="Arial" w:cs="Arial"/>
          <w:b/>
          <w:bCs/>
          <w:color w:val="202124"/>
          <w:shd w:val="clear" w:color="auto" w:fill="FFFFFF"/>
        </w:rPr>
        <w:t>940</w:t>
      </w:r>
      <w:r>
        <w:rPr>
          <w:rFonts w:ascii="Arial" w:hAnsi="Arial" w:cs="Arial"/>
          <w:color w:val="202124"/>
          <w:shd w:val="clear" w:color="auto" w:fill="FFFFFF"/>
        </w:rPr>
        <w:t xml:space="preserve">. </w:t>
      </w:r>
      <w:proofErr w:type="gramStart"/>
      <w:r>
        <w:rPr>
          <w:rFonts w:ascii="Arial" w:hAnsi="Arial" w:cs="Arial"/>
          <w:color w:val="202124"/>
          <w:shd w:val="clear" w:color="auto" w:fill="FFFFFF"/>
        </w:rPr>
        <w:t>aquele</w:t>
      </w:r>
      <w:proofErr w:type="gramEnd"/>
      <w:r>
        <w:rPr>
          <w:rFonts w:ascii="Arial" w:hAnsi="Arial" w:cs="Arial"/>
          <w:color w:val="202124"/>
          <w:shd w:val="clear" w:color="auto" w:fill="FFFFFF"/>
        </w:rPr>
        <w:t xml:space="preserve"> que demandar por dívida já paga, no todo ou em parte, sem ressalvar as quantias recebidas ou pedir mais do que for devido, ficará obrigado a pagar ao devedor, no primeiro caso, o dobro do que houver cobrado e, no segundo, o equivalente do que dele exigir, salvo se houver prescrição.”</w:t>
      </w:r>
    </w:p>
    <w:p w:rsidR="00033CA4" w:rsidRDefault="00033CA4" w:rsidP="00266DFF">
      <w:pPr>
        <w:widowControl w:val="0"/>
        <w:jc w:val="both"/>
        <w:rPr>
          <w:rFonts w:ascii="Arial" w:hAnsi="Arial" w:cs="Arial"/>
          <w:color w:val="202124"/>
          <w:shd w:val="clear" w:color="auto" w:fill="FFFFFF"/>
        </w:rPr>
      </w:pPr>
      <w:bookmarkStart w:id="0" w:name="_GoBack"/>
      <w:bookmarkEnd w:id="0"/>
    </w:p>
    <w:p w:rsidR="00033CA4" w:rsidRPr="00033CA4" w:rsidRDefault="00033CA4" w:rsidP="00033CA4">
      <w:pPr>
        <w:jc w:val="both"/>
        <w:rPr>
          <w:rFonts w:ascii="Segoe UI" w:hAnsi="Segoe UI" w:cs="Segoe UI"/>
          <w:sz w:val="21"/>
          <w:szCs w:val="21"/>
        </w:rPr>
      </w:pPr>
      <w:r w:rsidRPr="00033CA4">
        <w:rPr>
          <w:rFonts w:ascii="Segoe UI" w:hAnsi="Segoe UI" w:cs="Segoe UI"/>
          <w:b/>
          <w:bCs/>
          <w:sz w:val="21"/>
          <w:szCs w:val="21"/>
        </w:rPr>
        <w:t>Art. 42.</w:t>
      </w:r>
      <w:r w:rsidRPr="00033CA4">
        <w:rPr>
          <w:rFonts w:ascii="Segoe UI" w:hAnsi="Segoe UI" w:cs="Segoe UI"/>
          <w:sz w:val="21"/>
          <w:szCs w:val="21"/>
        </w:rPr>
        <w:t> Na cobrança de débitos, o consumidor inadimplente não será exposto a ridículo, nem será submetido a qualquer tipo de constrangimento ou ameaça.</w:t>
      </w:r>
    </w:p>
    <w:p w:rsidR="00033CA4" w:rsidRPr="00033CA4" w:rsidRDefault="00033CA4" w:rsidP="00033CA4">
      <w:pPr>
        <w:jc w:val="both"/>
        <w:rPr>
          <w:rFonts w:ascii="Segoe UI" w:hAnsi="Segoe UI" w:cs="Segoe UI"/>
          <w:sz w:val="21"/>
          <w:szCs w:val="21"/>
        </w:rPr>
      </w:pPr>
      <w:r w:rsidRPr="00033CA4">
        <w:rPr>
          <w:rFonts w:ascii="Segoe UI" w:hAnsi="Segoe UI" w:cs="Segoe UI"/>
          <w:b/>
          <w:bCs/>
          <w:sz w:val="21"/>
          <w:szCs w:val="21"/>
        </w:rPr>
        <w:t>Parágrafo único</w:t>
      </w:r>
      <w:r w:rsidRPr="00033CA4">
        <w:rPr>
          <w:rFonts w:ascii="Segoe UI" w:hAnsi="Segoe UI" w:cs="Segoe UI"/>
          <w:sz w:val="21"/>
          <w:szCs w:val="21"/>
        </w:rPr>
        <w:t>. O consumidor cobrado em quantia indevida tem direito à repetição do indébito, por valor igual ao dobro do que pagou em excesso, acrescido de correção monetária e juros legais, salvo hipótese de engano justificável.</w:t>
      </w:r>
    </w:p>
    <w:p w:rsidR="00033CA4" w:rsidRDefault="00033CA4" w:rsidP="00266DFF">
      <w:pPr>
        <w:widowControl w:val="0"/>
        <w:jc w:val="both"/>
        <w:rPr>
          <w:rFonts w:ascii="Arial" w:hAnsi="Arial" w:cs="Arial"/>
          <w:color w:val="202124"/>
          <w:shd w:val="clear" w:color="auto" w:fill="FFFFFF"/>
        </w:rPr>
      </w:pPr>
    </w:p>
    <w:p w:rsidR="00033CA4" w:rsidRDefault="00033CA4" w:rsidP="00266DFF">
      <w:pPr>
        <w:widowControl w:val="0"/>
        <w:jc w:val="both"/>
        <w:rPr>
          <w:sz w:val="24"/>
          <w:szCs w:val="24"/>
        </w:rPr>
      </w:pPr>
    </w:p>
    <w:p w:rsidR="00266DFF" w:rsidRPr="00A10DD6" w:rsidRDefault="00266DFF" w:rsidP="00266DFF">
      <w:pPr>
        <w:widowControl w:val="0"/>
        <w:jc w:val="both"/>
        <w:rPr>
          <w:rFonts w:ascii="Arial" w:hAnsi="Arial" w:cs="Arial"/>
          <w:sz w:val="20"/>
          <w:szCs w:val="20"/>
        </w:rPr>
      </w:pPr>
    </w:p>
    <w:p w:rsidR="00266DFF" w:rsidRPr="00A10DD6" w:rsidRDefault="00266DFF" w:rsidP="00266DFF">
      <w:pPr>
        <w:widowControl w:val="0"/>
        <w:jc w:val="both"/>
        <w:rPr>
          <w:rFonts w:ascii="Arial" w:hAnsi="Arial" w:cs="Arial"/>
          <w:sz w:val="20"/>
          <w:szCs w:val="20"/>
        </w:rPr>
      </w:pPr>
      <w:r w:rsidRPr="00A10DD6">
        <w:rPr>
          <w:rFonts w:ascii="Arial" w:hAnsi="Arial" w:cs="Arial"/>
          <w:sz w:val="20"/>
          <w:szCs w:val="20"/>
        </w:rPr>
        <w:t>PROCESSUAL CIVIL E ADMINISTRATIVO. AGRAVO INTERNO NOS EMBARGOS DE DECLARAÇÃO NO AGRAVO EM RECURSO ESPECIAL. SERVIDOR PÚBLICO FEDERAL. RESSARCIMENTO AO ERÁRIO. PAGAMENTO A MAIOR. ERRO OPERACIONAL. RECEBIMENTO DE BOA-FÉ. DEVOLUÇÃO AO ERÁRIO. DESCABIMENTO. MODULAÇÃO TEMPORAL. QO NO RESP 1.769.306/AL.</w:t>
      </w:r>
    </w:p>
    <w:p w:rsidR="00266DFF" w:rsidRPr="00A10DD6" w:rsidRDefault="00266DFF" w:rsidP="00266DFF">
      <w:pPr>
        <w:widowControl w:val="0"/>
        <w:jc w:val="both"/>
        <w:rPr>
          <w:rFonts w:ascii="Arial" w:hAnsi="Arial" w:cs="Arial"/>
          <w:sz w:val="20"/>
          <w:szCs w:val="20"/>
        </w:rPr>
      </w:pPr>
      <w:r w:rsidRPr="00A10DD6">
        <w:rPr>
          <w:rFonts w:ascii="Arial" w:hAnsi="Arial" w:cs="Arial"/>
          <w:sz w:val="20"/>
          <w:szCs w:val="20"/>
          <w:highlight w:val="yellow"/>
        </w:rPr>
        <w:t xml:space="preserve">1.Com o julgamento da QO no </w:t>
      </w:r>
      <w:proofErr w:type="spellStart"/>
      <w:r w:rsidRPr="00A10DD6">
        <w:rPr>
          <w:rFonts w:ascii="Arial" w:hAnsi="Arial" w:cs="Arial"/>
          <w:sz w:val="20"/>
          <w:szCs w:val="20"/>
          <w:highlight w:val="yellow"/>
        </w:rPr>
        <w:t>REsp</w:t>
      </w:r>
      <w:proofErr w:type="spellEnd"/>
      <w:r w:rsidRPr="00A10DD6">
        <w:rPr>
          <w:rFonts w:ascii="Arial" w:hAnsi="Arial" w:cs="Arial"/>
          <w:sz w:val="20"/>
          <w:szCs w:val="20"/>
          <w:highlight w:val="yellow"/>
        </w:rPr>
        <w:t xml:space="preserve"> 1.769.306/AL pela Primeira Seção deste </w:t>
      </w:r>
      <w:proofErr w:type="spellStart"/>
      <w:r w:rsidRPr="00A10DD6">
        <w:rPr>
          <w:rFonts w:ascii="Arial" w:hAnsi="Arial" w:cs="Arial"/>
          <w:sz w:val="20"/>
          <w:szCs w:val="20"/>
          <w:highlight w:val="yellow"/>
        </w:rPr>
        <w:t>eg</w:t>
      </w:r>
      <w:proofErr w:type="spellEnd"/>
      <w:r w:rsidRPr="00A10DD6">
        <w:rPr>
          <w:rFonts w:ascii="Arial" w:hAnsi="Arial" w:cs="Arial"/>
          <w:sz w:val="20"/>
          <w:szCs w:val="20"/>
          <w:highlight w:val="yellow"/>
        </w:rPr>
        <w:t>. STJ, restou firmada a seguinte tese: "Os pagamentos indevidos aos servidores públicos decorrentes de erro administrativo (operacional ou de cálculo), não embasado em interpretação errônea ou equivocada da lei pela Administração, estão sujeitos à devolução, ressalvadas as hipóteses em que o servidor, diante do caso concreto, comprova sua boa-fé objetiva, sobretudo com demonstração de que não lhe era possível constatar o pagamento indevido".</w:t>
      </w:r>
    </w:p>
    <w:p w:rsidR="00266DFF" w:rsidRPr="00A10DD6" w:rsidRDefault="00266DFF" w:rsidP="00266DFF">
      <w:pPr>
        <w:widowControl w:val="0"/>
        <w:jc w:val="both"/>
        <w:rPr>
          <w:rFonts w:ascii="Arial" w:hAnsi="Arial" w:cs="Arial"/>
          <w:sz w:val="20"/>
          <w:szCs w:val="20"/>
        </w:rPr>
      </w:pPr>
      <w:r w:rsidRPr="00A10DD6">
        <w:rPr>
          <w:rFonts w:ascii="Arial" w:hAnsi="Arial" w:cs="Arial"/>
          <w:sz w:val="20"/>
          <w:szCs w:val="20"/>
        </w:rPr>
        <w:t>2. Contudo, na referida assentada foram modulados temporalmente os efeitos da tese objetiva, de modo que o aludido entendimento fosse aplicável tão somente aos processos distribuídos em primeira instância após a publicação do acórdão, o que se deu em 19/5/2021.</w:t>
      </w:r>
    </w:p>
    <w:p w:rsidR="00266DFF" w:rsidRPr="00A10DD6" w:rsidRDefault="00266DFF" w:rsidP="00266DFF">
      <w:pPr>
        <w:widowControl w:val="0"/>
        <w:jc w:val="both"/>
        <w:rPr>
          <w:rFonts w:ascii="Arial" w:hAnsi="Arial" w:cs="Arial"/>
          <w:sz w:val="20"/>
          <w:szCs w:val="20"/>
        </w:rPr>
      </w:pPr>
      <w:r w:rsidRPr="00A10DD6">
        <w:rPr>
          <w:rFonts w:ascii="Arial" w:hAnsi="Arial" w:cs="Arial"/>
          <w:sz w:val="20"/>
          <w:szCs w:val="20"/>
        </w:rPr>
        <w:t xml:space="preserve">2. </w:t>
      </w:r>
      <w:proofErr w:type="gramStart"/>
      <w:r w:rsidRPr="00A10DD6">
        <w:rPr>
          <w:rFonts w:ascii="Arial" w:hAnsi="Arial" w:cs="Arial"/>
          <w:sz w:val="20"/>
          <w:szCs w:val="20"/>
        </w:rPr>
        <w:t>Inaplicável</w:t>
      </w:r>
      <w:proofErr w:type="gramEnd"/>
      <w:r w:rsidRPr="00A10DD6">
        <w:rPr>
          <w:rFonts w:ascii="Arial" w:hAnsi="Arial" w:cs="Arial"/>
          <w:sz w:val="20"/>
          <w:szCs w:val="20"/>
        </w:rPr>
        <w:t xml:space="preserve"> portanto, a tese objetiva ao caso dos autos, pois ajuizado muito antes do referido marco temporal.</w:t>
      </w:r>
    </w:p>
    <w:p w:rsidR="00266DFF" w:rsidRPr="00A10DD6" w:rsidRDefault="00266DFF" w:rsidP="00266DFF">
      <w:pPr>
        <w:widowControl w:val="0"/>
        <w:jc w:val="both"/>
        <w:rPr>
          <w:rFonts w:ascii="Arial" w:hAnsi="Arial" w:cs="Arial"/>
          <w:sz w:val="20"/>
          <w:szCs w:val="20"/>
        </w:rPr>
      </w:pPr>
      <w:r w:rsidRPr="00A10DD6">
        <w:rPr>
          <w:rFonts w:ascii="Arial" w:hAnsi="Arial" w:cs="Arial"/>
          <w:sz w:val="20"/>
          <w:szCs w:val="20"/>
        </w:rPr>
        <w:t>3. Ademais, no caso concreto, a Corte a quo expressamente assentou a boa-fé do servidor no recebimento da parcela. Dito isso, não há que se falar em devolução ao erário no presente caso. Precedentes.</w:t>
      </w:r>
    </w:p>
    <w:p w:rsidR="00266DFF" w:rsidRPr="00A10DD6" w:rsidRDefault="00266DFF" w:rsidP="00266DFF">
      <w:pPr>
        <w:widowControl w:val="0"/>
        <w:jc w:val="both"/>
        <w:rPr>
          <w:rFonts w:ascii="Arial" w:hAnsi="Arial" w:cs="Arial"/>
          <w:sz w:val="20"/>
          <w:szCs w:val="20"/>
        </w:rPr>
      </w:pPr>
      <w:r w:rsidRPr="00A10DD6">
        <w:rPr>
          <w:rFonts w:ascii="Arial" w:hAnsi="Arial" w:cs="Arial"/>
          <w:sz w:val="20"/>
          <w:szCs w:val="20"/>
        </w:rPr>
        <w:t>4. Agravo interno não provido.</w:t>
      </w:r>
    </w:p>
    <w:p w:rsidR="00266DFF" w:rsidRPr="00A10DD6" w:rsidRDefault="00266DFF" w:rsidP="00266DFF">
      <w:pPr>
        <w:widowControl w:val="0"/>
        <w:jc w:val="both"/>
        <w:rPr>
          <w:rFonts w:ascii="Arial" w:hAnsi="Arial" w:cs="Arial"/>
          <w:sz w:val="20"/>
          <w:szCs w:val="20"/>
        </w:rPr>
      </w:pPr>
      <w:r w:rsidRPr="00A10DD6">
        <w:rPr>
          <w:rFonts w:ascii="Arial" w:hAnsi="Arial" w:cs="Arial"/>
          <w:sz w:val="20"/>
          <w:szCs w:val="20"/>
        </w:rPr>
        <w:t>(</w:t>
      </w:r>
      <w:proofErr w:type="spellStart"/>
      <w:r w:rsidRPr="00A10DD6">
        <w:rPr>
          <w:rFonts w:ascii="Arial" w:hAnsi="Arial" w:cs="Arial"/>
          <w:sz w:val="20"/>
          <w:szCs w:val="20"/>
        </w:rPr>
        <w:t>AgInt</w:t>
      </w:r>
      <w:proofErr w:type="spellEnd"/>
      <w:r w:rsidRPr="00A10DD6">
        <w:rPr>
          <w:rFonts w:ascii="Arial" w:hAnsi="Arial" w:cs="Arial"/>
          <w:sz w:val="20"/>
          <w:szCs w:val="20"/>
        </w:rPr>
        <w:t xml:space="preserve"> nos </w:t>
      </w:r>
      <w:proofErr w:type="spellStart"/>
      <w:r w:rsidRPr="00A10DD6">
        <w:rPr>
          <w:rFonts w:ascii="Arial" w:hAnsi="Arial" w:cs="Arial"/>
          <w:sz w:val="20"/>
          <w:szCs w:val="20"/>
        </w:rPr>
        <w:t>EDcl</w:t>
      </w:r>
      <w:proofErr w:type="spellEnd"/>
      <w:r w:rsidRPr="00A10DD6">
        <w:rPr>
          <w:rFonts w:ascii="Arial" w:hAnsi="Arial" w:cs="Arial"/>
          <w:sz w:val="20"/>
          <w:szCs w:val="20"/>
        </w:rPr>
        <w:t xml:space="preserve"> no </w:t>
      </w:r>
      <w:proofErr w:type="spellStart"/>
      <w:r w:rsidRPr="00A10DD6">
        <w:rPr>
          <w:rFonts w:ascii="Arial" w:hAnsi="Arial" w:cs="Arial"/>
          <w:sz w:val="20"/>
          <w:szCs w:val="20"/>
        </w:rPr>
        <w:t>AREsp</w:t>
      </w:r>
      <w:proofErr w:type="spellEnd"/>
      <w:r w:rsidRPr="00A10DD6">
        <w:rPr>
          <w:rFonts w:ascii="Arial" w:hAnsi="Arial" w:cs="Arial"/>
          <w:sz w:val="20"/>
          <w:szCs w:val="20"/>
        </w:rPr>
        <w:t xml:space="preserve"> n. 1.449.206/BA, relator Ministro Benedito Gonçalves, Primeira Turma, julgado em 17/10/2022, </w:t>
      </w:r>
      <w:proofErr w:type="spellStart"/>
      <w:r w:rsidRPr="00A10DD6">
        <w:rPr>
          <w:rFonts w:ascii="Arial" w:hAnsi="Arial" w:cs="Arial"/>
          <w:sz w:val="20"/>
          <w:szCs w:val="20"/>
        </w:rPr>
        <w:t>DJe</w:t>
      </w:r>
      <w:proofErr w:type="spellEnd"/>
      <w:r w:rsidRPr="00A10DD6">
        <w:rPr>
          <w:rFonts w:ascii="Arial" w:hAnsi="Arial" w:cs="Arial"/>
          <w:sz w:val="20"/>
          <w:szCs w:val="20"/>
        </w:rPr>
        <w:t xml:space="preserve"> de 20/10/2022.)</w:t>
      </w:r>
    </w:p>
    <w:p w:rsidR="002A75B7" w:rsidRPr="00A10DD6" w:rsidRDefault="002A75B7" w:rsidP="00266DFF">
      <w:pPr>
        <w:widowControl w:val="0"/>
        <w:jc w:val="both"/>
        <w:rPr>
          <w:rFonts w:ascii="Arial" w:hAnsi="Arial" w:cs="Arial"/>
          <w:sz w:val="20"/>
          <w:szCs w:val="20"/>
        </w:rPr>
      </w:pPr>
    </w:p>
    <w:p w:rsidR="002A75B7" w:rsidRPr="00A10DD6" w:rsidRDefault="002A75B7" w:rsidP="00266DFF">
      <w:pPr>
        <w:widowControl w:val="0"/>
        <w:jc w:val="both"/>
        <w:rPr>
          <w:rFonts w:ascii="Arial" w:hAnsi="Arial" w:cs="Arial"/>
          <w:sz w:val="20"/>
          <w:szCs w:val="20"/>
        </w:rPr>
      </w:pP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ADMINISTRATIVO. AGRAVO INTERNO NO RECURSO ESPECIAL. SERVIDOR PÚBLICO. SÚMULAS N. 7/STJ, 283/STF E 284/STF. NÃO INCIDÊNCIA. SUPRESSÃO DE VANTAGEM. REESTRUTURAÇÃO DA CARREIRA. DECADÊNCIA. TERMO INICIAL. PRIMEIRO PAGAMENTO INDEVIDO. ART. 54, § 1º, DA LEI N. 9.784/1999. IMPEDIMENTO DA REVISÃO ADMINISTRATIVA. MATÉRIA NÃO PREQUESTIOANDA. AUSÊNCIA DE VIOLAÇÃO DIRETA DA CONSTITUIÇÃO FEDERAL. AGRAVO IMPROVIDO.</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1. Não se vislumbra óbice na Súmula n. 7/STJ, pois o conhecimento do recurso especial, quanto à tese de decadência, não demandou o reexame do conjunto fático-probatório. Por outro lado, não incidem as Súmulas n. 283 e 284 do STF no caso, pois o fundamento utilizado pelo Tribunal de origem, para afastar a decadência, foi devidamente combatido nas razões do especial.</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highlight w:val="yellow"/>
        </w:rPr>
        <w:t xml:space="preserve">2. Nas relações de trato sucessivo, como a vantagem é recebida mês a mês, o prazo decadencial tem como </w:t>
      </w:r>
      <w:r w:rsidRPr="00A10DD6">
        <w:rPr>
          <w:rFonts w:ascii="Arial" w:hAnsi="Arial" w:cs="Arial"/>
          <w:sz w:val="20"/>
          <w:szCs w:val="20"/>
          <w:highlight w:val="yellow"/>
        </w:rPr>
        <w:lastRenderedPageBreak/>
        <w:t>termo inicial a data do primeiro pagamento indevido, nos termos do § 1º do art. 54 da Lei n. 9.784/1999. Precedentes.</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3. A alegação de que a administração estava impedida de promover a revisão dos atos não foi analisada na Corte de origem, motivo pelo qual a matéria carece do necessário prequestionamento.</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4. Não é qualquer inconstitucionalidade que afasta a incidência do prazo decadencial para a administração rever seus próprios atos.</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Para tanto, a inconstitucionalidade tem de ser flagrante. Isto é, deve decorrer de mero cotejo entre o ato questionado e o texto da Constituição da República, independentemente da interpretação de legislação infraconstitucional. Precedentes.</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5. Agravo interno a que se nega provimento.</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w:t>
      </w:r>
      <w:proofErr w:type="spellStart"/>
      <w:r w:rsidRPr="00A10DD6">
        <w:rPr>
          <w:rFonts w:ascii="Arial" w:hAnsi="Arial" w:cs="Arial"/>
          <w:sz w:val="20"/>
          <w:szCs w:val="20"/>
        </w:rPr>
        <w:t>AgInt</w:t>
      </w:r>
      <w:proofErr w:type="spellEnd"/>
      <w:r w:rsidRPr="00A10DD6">
        <w:rPr>
          <w:rFonts w:ascii="Arial" w:hAnsi="Arial" w:cs="Arial"/>
          <w:sz w:val="20"/>
          <w:szCs w:val="20"/>
        </w:rPr>
        <w:t xml:space="preserve"> no </w:t>
      </w:r>
      <w:proofErr w:type="spellStart"/>
      <w:r w:rsidRPr="00A10DD6">
        <w:rPr>
          <w:rFonts w:ascii="Arial" w:hAnsi="Arial" w:cs="Arial"/>
          <w:sz w:val="20"/>
          <w:szCs w:val="20"/>
        </w:rPr>
        <w:t>REsp</w:t>
      </w:r>
      <w:proofErr w:type="spellEnd"/>
      <w:r w:rsidRPr="00A10DD6">
        <w:rPr>
          <w:rFonts w:ascii="Arial" w:hAnsi="Arial" w:cs="Arial"/>
          <w:sz w:val="20"/>
          <w:szCs w:val="20"/>
        </w:rPr>
        <w:t xml:space="preserve"> n. 1.883.811/RN, relator Ministro </w:t>
      </w:r>
      <w:proofErr w:type="spellStart"/>
      <w:r w:rsidRPr="00A10DD6">
        <w:rPr>
          <w:rFonts w:ascii="Arial" w:hAnsi="Arial" w:cs="Arial"/>
          <w:sz w:val="20"/>
          <w:szCs w:val="20"/>
        </w:rPr>
        <w:t>Og</w:t>
      </w:r>
      <w:proofErr w:type="spellEnd"/>
      <w:r w:rsidRPr="00A10DD6">
        <w:rPr>
          <w:rFonts w:ascii="Arial" w:hAnsi="Arial" w:cs="Arial"/>
          <w:sz w:val="20"/>
          <w:szCs w:val="20"/>
        </w:rPr>
        <w:t xml:space="preserve"> Fernandes, Segunda Turma, julgado em 15/3/2022, </w:t>
      </w:r>
      <w:proofErr w:type="spellStart"/>
      <w:r w:rsidRPr="00A10DD6">
        <w:rPr>
          <w:rFonts w:ascii="Arial" w:hAnsi="Arial" w:cs="Arial"/>
          <w:sz w:val="20"/>
          <w:szCs w:val="20"/>
        </w:rPr>
        <w:t>DJe</w:t>
      </w:r>
      <w:proofErr w:type="spellEnd"/>
      <w:r w:rsidRPr="00A10DD6">
        <w:rPr>
          <w:rFonts w:ascii="Arial" w:hAnsi="Arial" w:cs="Arial"/>
          <w:sz w:val="20"/>
          <w:szCs w:val="20"/>
        </w:rPr>
        <w:t xml:space="preserve"> de 1/4/2022.)</w:t>
      </w:r>
    </w:p>
    <w:p w:rsidR="002A75B7" w:rsidRPr="00A10DD6" w:rsidRDefault="002A75B7" w:rsidP="002A75B7">
      <w:pPr>
        <w:widowControl w:val="0"/>
        <w:jc w:val="both"/>
        <w:rPr>
          <w:rFonts w:ascii="Arial" w:hAnsi="Arial" w:cs="Arial"/>
          <w:sz w:val="20"/>
          <w:szCs w:val="20"/>
        </w:rPr>
      </w:pPr>
    </w:p>
    <w:p w:rsidR="002A75B7" w:rsidRPr="00A10DD6" w:rsidRDefault="002A75B7" w:rsidP="002A75B7">
      <w:pPr>
        <w:widowControl w:val="0"/>
        <w:jc w:val="both"/>
        <w:rPr>
          <w:rFonts w:ascii="Arial" w:hAnsi="Arial" w:cs="Arial"/>
          <w:sz w:val="20"/>
          <w:szCs w:val="20"/>
        </w:rPr>
      </w:pP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AGRAVO INTERNO NO AGRAVO EM RECURSO ESPECIAL. SISTEMA FINANCEIRO DA HABITAÇÃO. NEGATIVA DE PRESTAÇÃO JURISDICIONAL. ART. 535 DO CPC/1973. NÃO OCORRÊNCIA. REPETIÇÃO EM DOBRO. MÁ-FÉ. NÃO OCORRÊNCIA. VENDA CASADA. DANO MORAL. SÚMULA Nº 7/STJ.</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 xml:space="preserve">1. Recurso especial interposto contra acórdão publicado na vigência do Código de Processo Civil de 2015 (Enunciados Administrativos </w:t>
      </w:r>
      <w:proofErr w:type="spellStart"/>
      <w:r w:rsidRPr="00A10DD6">
        <w:rPr>
          <w:rFonts w:ascii="Arial" w:hAnsi="Arial" w:cs="Arial"/>
          <w:sz w:val="20"/>
          <w:szCs w:val="20"/>
        </w:rPr>
        <w:t>nºs</w:t>
      </w:r>
      <w:proofErr w:type="spellEnd"/>
      <w:r w:rsidRPr="00A10DD6">
        <w:rPr>
          <w:rFonts w:ascii="Arial" w:hAnsi="Arial" w:cs="Arial"/>
          <w:sz w:val="20"/>
          <w:szCs w:val="20"/>
        </w:rPr>
        <w:t xml:space="preserve"> 2 e 3/STJ).</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2. Não há falar em negativa de prestação jurisdicional se o tribunal de origem motiva adequadamente sua decisão, solucionando a controvérsia com a aplicação do direito que entende cabível à hipótese, apenas não no sentido pretendido pela parte.</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highlight w:val="yellow"/>
        </w:rPr>
        <w:t>3. A devolução em dobro dos valores pagos pelo consumidor pressupõe a existência de pagamento indevido e a má-fé do credor. Precedentes.</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4. Na hipótese, rever o entendimento das instâncias ordinárias, para reconhecer a comprovação da venda casada e do dano moral, demandaria a incursão nos fatos e nas provas dos autos por esta Corte, providência vedada em recurso especial em virtude a incidência da Súmula nº 7/STJ.</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5. Agravo interno não provido.</w:t>
      </w:r>
    </w:p>
    <w:p w:rsidR="002A75B7" w:rsidRPr="00A10DD6" w:rsidRDefault="002A75B7" w:rsidP="002A75B7">
      <w:pPr>
        <w:widowControl w:val="0"/>
        <w:jc w:val="both"/>
        <w:rPr>
          <w:rFonts w:ascii="Arial" w:hAnsi="Arial" w:cs="Arial"/>
          <w:sz w:val="20"/>
          <w:szCs w:val="20"/>
        </w:rPr>
      </w:pPr>
      <w:r w:rsidRPr="00A10DD6">
        <w:rPr>
          <w:rFonts w:ascii="Arial" w:hAnsi="Arial" w:cs="Arial"/>
          <w:sz w:val="20"/>
          <w:szCs w:val="20"/>
        </w:rPr>
        <w:t>(</w:t>
      </w:r>
      <w:proofErr w:type="spellStart"/>
      <w:r w:rsidRPr="00A10DD6">
        <w:rPr>
          <w:rFonts w:ascii="Arial" w:hAnsi="Arial" w:cs="Arial"/>
          <w:sz w:val="20"/>
          <w:szCs w:val="20"/>
        </w:rPr>
        <w:t>AgInt</w:t>
      </w:r>
      <w:proofErr w:type="spellEnd"/>
      <w:r w:rsidRPr="00A10DD6">
        <w:rPr>
          <w:rFonts w:ascii="Arial" w:hAnsi="Arial" w:cs="Arial"/>
          <w:sz w:val="20"/>
          <w:szCs w:val="20"/>
        </w:rPr>
        <w:t xml:space="preserve"> no </w:t>
      </w:r>
      <w:proofErr w:type="spellStart"/>
      <w:r w:rsidRPr="00A10DD6">
        <w:rPr>
          <w:rFonts w:ascii="Arial" w:hAnsi="Arial" w:cs="Arial"/>
          <w:sz w:val="20"/>
          <w:szCs w:val="20"/>
        </w:rPr>
        <w:t>AREsp</w:t>
      </w:r>
      <w:proofErr w:type="spellEnd"/>
      <w:r w:rsidRPr="00A10DD6">
        <w:rPr>
          <w:rFonts w:ascii="Arial" w:hAnsi="Arial" w:cs="Arial"/>
          <w:sz w:val="20"/>
          <w:szCs w:val="20"/>
        </w:rPr>
        <w:t xml:space="preserve"> n. 1.483.449/RJ, relator Ministro Ricardo Villas </w:t>
      </w:r>
      <w:proofErr w:type="spellStart"/>
      <w:r w:rsidRPr="00A10DD6">
        <w:rPr>
          <w:rFonts w:ascii="Arial" w:hAnsi="Arial" w:cs="Arial"/>
          <w:sz w:val="20"/>
          <w:szCs w:val="20"/>
        </w:rPr>
        <w:t>Bôas</w:t>
      </w:r>
      <w:proofErr w:type="spellEnd"/>
      <w:r w:rsidRPr="00A10DD6">
        <w:rPr>
          <w:rFonts w:ascii="Arial" w:hAnsi="Arial" w:cs="Arial"/>
          <w:sz w:val="20"/>
          <w:szCs w:val="20"/>
        </w:rPr>
        <w:t xml:space="preserve"> </w:t>
      </w:r>
      <w:proofErr w:type="spellStart"/>
      <w:r w:rsidRPr="00A10DD6">
        <w:rPr>
          <w:rFonts w:ascii="Arial" w:hAnsi="Arial" w:cs="Arial"/>
          <w:sz w:val="20"/>
          <w:szCs w:val="20"/>
        </w:rPr>
        <w:t>Cueva</w:t>
      </w:r>
      <w:proofErr w:type="spellEnd"/>
      <w:r w:rsidRPr="00A10DD6">
        <w:rPr>
          <w:rFonts w:ascii="Arial" w:hAnsi="Arial" w:cs="Arial"/>
          <w:sz w:val="20"/>
          <w:szCs w:val="20"/>
        </w:rPr>
        <w:t xml:space="preserve">, Terceira Turma, julgado em 16/11/2021, </w:t>
      </w:r>
      <w:proofErr w:type="spellStart"/>
      <w:r w:rsidRPr="00A10DD6">
        <w:rPr>
          <w:rFonts w:ascii="Arial" w:hAnsi="Arial" w:cs="Arial"/>
          <w:sz w:val="20"/>
          <w:szCs w:val="20"/>
        </w:rPr>
        <w:t>DJe</w:t>
      </w:r>
      <w:proofErr w:type="spellEnd"/>
      <w:r w:rsidRPr="00A10DD6">
        <w:rPr>
          <w:rFonts w:ascii="Arial" w:hAnsi="Arial" w:cs="Arial"/>
          <w:sz w:val="20"/>
          <w:szCs w:val="20"/>
        </w:rPr>
        <w:t xml:space="preserve"> de 22/11/2021.)</w:t>
      </w:r>
    </w:p>
    <w:p w:rsidR="00B23C85" w:rsidRDefault="00B23C85" w:rsidP="00310404">
      <w:pPr>
        <w:widowControl w:val="0"/>
        <w:jc w:val="both"/>
        <w:rPr>
          <w:b/>
          <w:smallCaps/>
          <w:color w:val="4F6228" w:themeColor="accent3" w:themeShade="80"/>
          <w:sz w:val="24"/>
          <w:szCs w:val="24"/>
          <w:u w:val="single"/>
        </w:rPr>
      </w:pPr>
    </w:p>
    <w:p w:rsidR="00B23C85" w:rsidRDefault="00B23C85" w:rsidP="00310404">
      <w:pPr>
        <w:widowControl w:val="0"/>
        <w:jc w:val="both"/>
        <w:rPr>
          <w:b/>
          <w:smallCaps/>
          <w:color w:val="4F6228" w:themeColor="accent3" w:themeShade="80"/>
          <w:sz w:val="24"/>
          <w:szCs w:val="24"/>
          <w:u w:val="single"/>
        </w:rPr>
      </w:pPr>
    </w:p>
    <w:p w:rsidR="00061EB0" w:rsidRPr="00B86FA3" w:rsidRDefault="00061EB0" w:rsidP="00310404">
      <w:pPr>
        <w:widowControl w:val="0"/>
        <w:jc w:val="both"/>
        <w:rPr>
          <w:b/>
          <w:smallCaps/>
          <w:color w:val="4F6228" w:themeColor="accent3" w:themeShade="80"/>
          <w:sz w:val="24"/>
          <w:szCs w:val="24"/>
          <w:u w:val="single"/>
        </w:rPr>
      </w:pPr>
      <w:r w:rsidRPr="00B86FA3">
        <w:rPr>
          <w:b/>
          <w:smallCaps/>
          <w:color w:val="4F6228" w:themeColor="accent3" w:themeShade="80"/>
          <w:sz w:val="24"/>
          <w:szCs w:val="24"/>
          <w:u w:val="single"/>
        </w:rPr>
        <w:t>Enriquecimento sem Causa</w:t>
      </w:r>
    </w:p>
    <w:p w:rsidR="00061EB0" w:rsidRDefault="00061EB0" w:rsidP="00310404">
      <w:pPr>
        <w:widowControl w:val="0"/>
        <w:jc w:val="both"/>
        <w:rPr>
          <w:sz w:val="24"/>
          <w:szCs w:val="24"/>
        </w:rPr>
      </w:pPr>
    </w:p>
    <w:p w:rsidR="00061EB0" w:rsidRDefault="00061EB0" w:rsidP="00310404">
      <w:pPr>
        <w:widowControl w:val="0"/>
        <w:jc w:val="both"/>
        <w:rPr>
          <w:sz w:val="24"/>
          <w:szCs w:val="24"/>
        </w:rPr>
      </w:pPr>
      <w:r>
        <w:rPr>
          <w:sz w:val="24"/>
          <w:szCs w:val="24"/>
        </w:rPr>
        <w:t xml:space="preserve">- </w:t>
      </w:r>
      <w:r w:rsidRPr="00B86FA3">
        <w:rPr>
          <w:b/>
          <w:color w:val="548DD4" w:themeColor="text2" w:themeTint="99"/>
          <w:sz w:val="24"/>
          <w:szCs w:val="24"/>
        </w:rPr>
        <w:t>Definição</w:t>
      </w:r>
      <w:r>
        <w:rPr>
          <w:sz w:val="24"/>
          <w:szCs w:val="24"/>
        </w:rPr>
        <w:t>: ocorre quando alguém, a expensas de outrem, obtém vantagem patrimonial sem causa, isto é, sem que tal vantagem se funde em dispositivo de lei ou em negócio jurídico anterior.</w:t>
      </w:r>
    </w:p>
    <w:p w:rsidR="00061EB0" w:rsidRDefault="00061EB0" w:rsidP="00310404">
      <w:pPr>
        <w:widowControl w:val="0"/>
        <w:jc w:val="both"/>
        <w:rPr>
          <w:sz w:val="24"/>
          <w:szCs w:val="24"/>
        </w:rPr>
      </w:pPr>
    </w:p>
    <w:p w:rsidR="00061EB0" w:rsidRDefault="00061EB0" w:rsidP="00310404">
      <w:pPr>
        <w:widowControl w:val="0"/>
        <w:jc w:val="both"/>
        <w:rPr>
          <w:sz w:val="24"/>
          <w:szCs w:val="24"/>
        </w:rPr>
      </w:pPr>
      <w:r>
        <w:rPr>
          <w:sz w:val="24"/>
          <w:szCs w:val="24"/>
        </w:rPr>
        <w:t xml:space="preserve">- </w:t>
      </w:r>
      <w:r w:rsidRPr="00B86FA3">
        <w:rPr>
          <w:b/>
          <w:color w:val="548DD4" w:themeColor="text2" w:themeTint="99"/>
          <w:sz w:val="24"/>
          <w:szCs w:val="24"/>
        </w:rPr>
        <w:t>Elementos</w:t>
      </w:r>
      <w:r>
        <w:rPr>
          <w:sz w:val="24"/>
          <w:szCs w:val="24"/>
        </w:rPr>
        <w:t>: a) enriquecimento de alguém; b) empobrecimento de outrem; c) nexo de causalidade entre o enriquecimento e o empobrecimento; d) falta de causa ou a existência de causa injusta</w:t>
      </w:r>
      <w:r w:rsidR="00C413FC">
        <w:rPr>
          <w:sz w:val="24"/>
          <w:szCs w:val="24"/>
        </w:rPr>
        <w:t>; e) ausência de previsão da lei de outro meio de ser indenizado ou restituído. Trata-se, neste caso, de uma pretensão de caráter residual ou de uma ação subsidiária</w:t>
      </w:r>
      <w:r>
        <w:rPr>
          <w:sz w:val="24"/>
          <w:szCs w:val="24"/>
        </w:rPr>
        <w:t>.</w:t>
      </w:r>
    </w:p>
    <w:p w:rsidR="00C413FC" w:rsidRDefault="00C413FC" w:rsidP="00310404">
      <w:pPr>
        <w:widowControl w:val="0"/>
        <w:jc w:val="both"/>
        <w:rPr>
          <w:sz w:val="24"/>
          <w:szCs w:val="24"/>
        </w:rPr>
      </w:pPr>
    </w:p>
    <w:p w:rsidR="00C413FC" w:rsidRPr="009A4104" w:rsidRDefault="00C413FC" w:rsidP="00310404">
      <w:pPr>
        <w:widowControl w:val="0"/>
        <w:jc w:val="both"/>
        <w:rPr>
          <w:sz w:val="24"/>
          <w:szCs w:val="24"/>
        </w:rPr>
      </w:pPr>
      <w:r>
        <w:rPr>
          <w:sz w:val="24"/>
          <w:szCs w:val="24"/>
        </w:rPr>
        <w:t>Espécies: repetição do indébito, enriquecimento em virtude de uma causa que deixou de existir e o enriquecimento por falta do resultado previsto.</w:t>
      </w:r>
    </w:p>
    <w:p w:rsidR="009A4104" w:rsidRDefault="009A4104" w:rsidP="00310404">
      <w:pPr>
        <w:widowControl w:val="0"/>
        <w:jc w:val="both"/>
        <w:rPr>
          <w:sz w:val="24"/>
          <w:szCs w:val="24"/>
        </w:rPr>
      </w:pPr>
    </w:p>
    <w:p w:rsidR="004C57CB" w:rsidRDefault="0022089D" w:rsidP="00310404">
      <w:pPr>
        <w:widowControl w:val="0"/>
        <w:jc w:val="both"/>
        <w:rPr>
          <w:sz w:val="24"/>
          <w:szCs w:val="24"/>
        </w:rPr>
      </w:pPr>
      <w:r>
        <w:rPr>
          <w:sz w:val="24"/>
          <w:szCs w:val="24"/>
        </w:rPr>
        <w:t>Falta de causa jurídica: ocorre quando entre o que a realiza e aquele que a recebe não existe uma relação jurídica obrigatória em virtude da qual ao último estava facultado exigi-la, nem havia sido ajustado entre eles um pacto sobre uma causa jurídica válida. A causa jurídica existente em princípio desaparece posteriormente quando a relação obrigatória ou o pacto acerca da causa jurídica perdem a sua validade, com o que decai ou se extingue o direito do destinatário frente ao que realizou a prestação para conservar depois a pretensão recebida.</w:t>
      </w:r>
    </w:p>
    <w:p w:rsidR="00FE40E4" w:rsidRDefault="00FE40E4" w:rsidP="00310404">
      <w:pPr>
        <w:widowControl w:val="0"/>
        <w:jc w:val="both"/>
        <w:rPr>
          <w:sz w:val="24"/>
          <w:szCs w:val="24"/>
        </w:rPr>
      </w:pPr>
    </w:p>
    <w:p w:rsidR="00FE40E4" w:rsidRDefault="00FE40E4" w:rsidP="00310404">
      <w:pPr>
        <w:widowControl w:val="0"/>
        <w:jc w:val="both"/>
        <w:rPr>
          <w:sz w:val="24"/>
          <w:szCs w:val="24"/>
        </w:rPr>
      </w:pPr>
      <w:r>
        <w:rPr>
          <w:sz w:val="24"/>
          <w:szCs w:val="24"/>
        </w:rPr>
        <w:t xml:space="preserve">Desde o ponto de vista terminológico é de se notar que as expressões "fundamento jurídico" ou "causa" são utilizadas com </w:t>
      </w:r>
      <w:proofErr w:type="spellStart"/>
      <w:r>
        <w:rPr>
          <w:sz w:val="24"/>
          <w:szCs w:val="24"/>
        </w:rPr>
        <w:t>diverso</w:t>
      </w:r>
      <w:proofErr w:type="spellEnd"/>
      <w:r>
        <w:rPr>
          <w:sz w:val="24"/>
          <w:szCs w:val="24"/>
        </w:rPr>
        <w:t xml:space="preserve"> sentido, segundo se pense na causa de uma obrigação ou de uma prestação. </w:t>
      </w:r>
      <w:r>
        <w:rPr>
          <w:sz w:val="24"/>
          <w:szCs w:val="24"/>
        </w:rPr>
        <w:lastRenderedPageBreak/>
        <w:t xml:space="preserve">Por </w:t>
      </w:r>
      <w:r>
        <w:rPr>
          <w:i/>
          <w:sz w:val="24"/>
          <w:szCs w:val="24"/>
        </w:rPr>
        <w:t xml:space="preserve">causa de uma obrigação </w:t>
      </w:r>
      <w:r>
        <w:rPr>
          <w:sz w:val="24"/>
          <w:szCs w:val="24"/>
        </w:rPr>
        <w:t xml:space="preserve">entende-se a finalidade negocial típica que recebe expressão no conteúdo do negócio obrigatório. </w:t>
      </w:r>
      <w:proofErr w:type="spellStart"/>
      <w:r>
        <w:rPr>
          <w:i/>
          <w:sz w:val="24"/>
          <w:szCs w:val="24"/>
        </w:rPr>
        <w:t>Siber</w:t>
      </w:r>
      <w:proofErr w:type="spellEnd"/>
      <w:r>
        <w:rPr>
          <w:i/>
          <w:sz w:val="24"/>
          <w:szCs w:val="24"/>
        </w:rPr>
        <w:t xml:space="preserve"> </w:t>
      </w:r>
      <w:r>
        <w:rPr>
          <w:sz w:val="24"/>
          <w:szCs w:val="24"/>
        </w:rPr>
        <w:t xml:space="preserve">a designa como "fundamento ou causa jurídica interna", porque pertence ao conteúdo do negócio. Os negócios obrigatórios que contêm esse fundamento jurídico interno e que estão determinados ou concretizados em razão do seu conteúdo são denominados "negócios causais". A este grupo pertencem todos os contratos obrigatórios, exceto os criadores de obrigações abstratas. Por outro lado, se se fala de "causa" como fundamento jurídico de uma prestação, pode-se entender por ela duas coisas distintas. </w:t>
      </w:r>
      <w:proofErr w:type="gramStart"/>
      <w:r>
        <w:rPr>
          <w:sz w:val="24"/>
          <w:szCs w:val="24"/>
        </w:rPr>
        <w:t>Por um lado</w:t>
      </w:r>
      <w:proofErr w:type="gramEnd"/>
      <w:r>
        <w:rPr>
          <w:sz w:val="24"/>
          <w:szCs w:val="24"/>
        </w:rPr>
        <w:t xml:space="preserve"> se compreende a finalidade (subjetiva) a qual obedece a prestação: o que realiza </w:t>
      </w:r>
      <w:proofErr w:type="spellStart"/>
      <w:r>
        <w:rPr>
          <w:sz w:val="24"/>
          <w:szCs w:val="24"/>
        </w:rPr>
        <w:t>esta</w:t>
      </w:r>
      <w:proofErr w:type="spellEnd"/>
      <w:r>
        <w:rPr>
          <w:sz w:val="24"/>
          <w:szCs w:val="24"/>
        </w:rPr>
        <w:t xml:space="preserve"> se propõe quiçá a cumprir uma obrigação ("causa </w:t>
      </w:r>
      <w:proofErr w:type="spellStart"/>
      <w:r>
        <w:rPr>
          <w:sz w:val="24"/>
          <w:szCs w:val="24"/>
        </w:rPr>
        <w:t>solvendi</w:t>
      </w:r>
      <w:proofErr w:type="spellEnd"/>
      <w:r>
        <w:rPr>
          <w:sz w:val="24"/>
          <w:szCs w:val="24"/>
        </w:rPr>
        <w:t xml:space="preserve">"), verificar uma entrega em conceito de mútuo ("causa </w:t>
      </w:r>
      <w:proofErr w:type="spellStart"/>
      <w:r>
        <w:rPr>
          <w:sz w:val="24"/>
          <w:szCs w:val="24"/>
        </w:rPr>
        <w:t>donandi</w:t>
      </w:r>
      <w:proofErr w:type="spellEnd"/>
      <w:r>
        <w:rPr>
          <w:sz w:val="24"/>
          <w:szCs w:val="24"/>
        </w:rPr>
        <w:t>")</w:t>
      </w:r>
      <w:r w:rsidR="00931465">
        <w:rPr>
          <w:sz w:val="24"/>
          <w:szCs w:val="24"/>
        </w:rPr>
        <w:t xml:space="preserve"> ou haver uma adjudicação a título gratuito ("causa </w:t>
      </w:r>
      <w:proofErr w:type="spellStart"/>
      <w:r w:rsidR="00931465">
        <w:rPr>
          <w:sz w:val="24"/>
          <w:szCs w:val="24"/>
        </w:rPr>
        <w:t>donandi</w:t>
      </w:r>
      <w:proofErr w:type="spellEnd"/>
      <w:r w:rsidR="00931465">
        <w:rPr>
          <w:sz w:val="24"/>
          <w:szCs w:val="24"/>
        </w:rPr>
        <w:t>")</w:t>
      </w:r>
      <w:r>
        <w:rPr>
          <w:sz w:val="24"/>
          <w:szCs w:val="24"/>
        </w:rPr>
        <w:t xml:space="preserve">. </w:t>
      </w:r>
      <w:proofErr w:type="spellStart"/>
      <w:r>
        <w:rPr>
          <w:i/>
          <w:sz w:val="24"/>
          <w:szCs w:val="24"/>
        </w:rPr>
        <w:t>Siber</w:t>
      </w:r>
      <w:proofErr w:type="spellEnd"/>
      <w:r>
        <w:rPr>
          <w:i/>
          <w:sz w:val="24"/>
          <w:szCs w:val="24"/>
        </w:rPr>
        <w:t xml:space="preserve"> </w:t>
      </w:r>
      <w:r>
        <w:rPr>
          <w:sz w:val="24"/>
          <w:szCs w:val="24"/>
        </w:rPr>
        <w:t xml:space="preserve">designa a causa neste sentido por não </w:t>
      </w:r>
      <w:r w:rsidR="00931465">
        <w:rPr>
          <w:sz w:val="24"/>
          <w:szCs w:val="24"/>
        </w:rPr>
        <w:t xml:space="preserve">se </w:t>
      </w:r>
      <w:r>
        <w:rPr>
          <w:sz w:val="24"/>
          <w:szCs w:val="24"/>
        </w:rPr>
        <w:t xml:space="preserve">expressar no conteúdo do negócio de prestação e </w:t>
      </w:r>
      <w:r w:rsidR="00931465">
        <w:rPr>
          <w:sz w:val="24"/>
          <w:szCs w:val="24"/>
        </w:rPr>
        <w:t>enquanto seja exterior a esse conteúdo "fundamento jurídico externo".</w:t>
      </w:r>
    </w:p>
    <w:p w:rsidR="001A5163" w:rsidRDefault="001A5163" w:rsidP="00310404">
      <w:pPr>
        <w:widowControl w:val="0"/>
        <w:jc w:val="both"/>
        <w:rPr>
          <w:sz w:val="24"/>
          <w:szCs w:val="24"/>
        </w:rPr>
      </w:pPr>
    </w:p>
    <w:p w:rsidR="001A5163" w:rsidRDefault="001A5163" w:rsidP="00310404">
      <w:pPr>
        <w:widowControl w:val="0"/>
        <w:jc w:val="both"/>
        <w:rPr>
          <w:sz w:val="24"/>
          <w:szCs w:val="24"/>
        </w:rPr>
      </w:pP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PROCESSUAL CIVIL. RECURSO ESPECIAL. AÇÃO DE RESCISÃO CONTRATUAL C/C PEDIDO DE REINTEGRAÇÃO DE POSSE E INDENIZAÇÃO POR PERDAS E DANOS. CUMULAÇÃO. CLÁUSULA PENAL COMPENSATÓRIA. TAXA DE OCUPAÇÃO DO IMÓVEL. POSSIBILIDADE. RECURSO ESPECIAL CONHECIDO E PROVIDO.</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1. Cuida-se de ação de reintegração de posse cumulada com pedido de rescisão contratual e indenização por danos materiais, da qual foi extraído o presente recurso especial, interposto em 27/01/2022 e concluso ao gabinete em 21/09/2022.</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2. O propósito recursal consiste em definir se, quando da rescisão contratual por inadimplemento do consumidor, é possível cumular a cláusula penal compensatória com a indenização pelo tempo de fruição de imóvel.</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3. Somente na hipótese de prejuízos extraordinários, a indenização devida ao credor poderá ultrapassar o montante determinado na cláusula penal.</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4. Entende este STJ que, ausente qualquer peculiaridade, na apreciação da razoabilidade da cláusula penal estabelecida em contrato anterior à Lei 13.786/2018, deve prevalecer o percentual de retenção de 25% (vinte e cinco por cento) dos valores pagos pelos adquirentes, porquanto adequado para indenizar o construtor das despesas gerais e desestimular o rompimento unilateral do contrato.</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Precedentes.</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5. A garantia ao promitente vendedor do recebimento de indenização pelo tempo em que o comprador desistente ocupou o bem, a fim de evitar enriquecimento ilícito, não deve ser confundida e englobada no percentual da cláusula penal de retenção em favor do construtor.</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Precedentes.</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6. Independentemente de ter sido ocupado o bem, mantém-se os 25% de retenção dos valores pagos pelos adquirentes e a taxa de ocupação será cobrada separadamente, quando comprovada a utilização do imóvel edificado.</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7. A taxa de ocupação não guarda relação direta com a rescisão contratual, mas com os benefícios que auferiu o ocupante pela fruição do bem, razão pela qual não foi incluída no cálculo prévio que prefixou as perdas e danos na cláusula penal compensatória.</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8. A indenização pelo tempo de fruição do imóvel, configura-se como um custo extraordinário que vai além daquele que naturalmente se espera quando se trata de rescisão contratual causada por uma das partes, o que justifica que a contratante faça jus à cumulação da multa fixada na cláusula penal com a taxa de ocupação.</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9. A indenização pelo tempo de utilização do imóvel tem natureza jurídica de aluguéis e se justifica pela vedação ao enriquecimento sem causa. Por isso, a indenização pelo tempo de fruição do bem deve basear-se no valor de aluguel do imóvel em questão e o promissário vendedor deve receber pelo tempo de permanência do comprador desistente.</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10. Não merece prosperar o entendimento de que o vendedor deve receber apenas um valor fixo estabelecido na cláusula penal compensatória, independentemente da quantidade de meses que o comprador usufruiu do imóvel, porquanto se estaria violando a teoria da reparação integral do dano.</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11. Situação distinta é aquela prevista no Tema 970/STJ, o qual define que a cláusula penal moratória por ter a finalidade de indenizar pelo adimplemento tardio da obrigação, é, em regra, estabelecida em valor equivalente ao locativo, afastando-se sua cumulação com lucros cessantes.</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12. Na hipótese dos autos, o acórdão recorrido negou a cumulação da cláusula penal compensatória com a taxa de ocupação do imóvel, sob o argumento de que o Tema 970/STJ veda a cumulação de cláusula penal moratória com lucros cessantes. Necessária a reforma porquanto, na espécie, (i) não se discute cláusula penal moratória e (</w:t>
      </w:r>
      <w:proofErr w:type="spellStart"/>
      <w:r w:rsidRPr="00A10DD6">
        <w:rPr>
          <w:rFonts w:ascii="Arial" w:hAnsi="Arial" w:cs="Arial"/>
          <w:sz w:val="20"/>
          <w:szCs w:val="20"/>
          <w:highlight w:val="yellow"/>
        </w:rPr>
        <w:t>ii</w:t>
      </w:r>
      <w:proofErr w:type="spellEnd"/>
      <w:r w:rsidRPr="00A10DD6">
        <w:rPr>
          <w:rFonts w:ascii="Arial" w:hAnsi="Arial" w:cs="Arial"/>
          <w:sz w:val="20"/>
          <w:szCs w:val="20"/>
          <w:highlight w:val="yellow"/>
        </w:rPr>
        <w:t xml:space="preserve">) a taxa de ocupação não está englobada no percentual de retenção que é devido ao vendedor </w:t>
      </w:r>
      <w:r w:rsidRPr="00A10DD6">
        <w:rPr>
          <w:rFonts w:ascii="Arial" w:hAnsi="Arial" w:cs="Arial"/>
          <w:sz w:val="20"/>
          <w:szCs w:val="20"/>
          <w:highlight w:val="yellow"/>
        </w:rPr>
        <w:lastRenderedPageBreak/>
        <w:t>em razão da rescisão unilateral do contrato de compra e venda.</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highlight w:val="yellow"/>
        </w:rPr>
        <w:t>13. Recurso especial conhecido e provido para condenar a recorrida ao pagamento de taxa de ocupação pelo tempo que usufruiu do imóvel.</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w:t>
      </w:r>
      <w:proofErr w:type="spellStart"/>
      <w:r w:rsidRPr="00A10DD6">
        <w:rPr>
          <w:rFonts w:ascii="Arial" w:hAnsi="Arial" w:cs="Arial"/>
          <w:sz w:val="20"/>
          <w:szCs w:val="20"/>
        </w:rPr>
        <w:t>REsp</w:t>
      </w:r>
      <w:proofErr w:type="spellEnd"/>
      <w:r w:rsidRPr="00A10DD6">
        <w:rPr>
          <w:rFonts w:ascii="Arial" w:hAnsi="Arial" w:cs="Arial"/>
          <w:sz w:val="20"/>
          <w:szCs w:val="20"/>
        </w:rPr>
        <w:t xml:space="preserve"> n. 2.024.829/SC, relatora Ministra Nancy </w:t>
      </w:r>
      <w:proofErr w:type="spellStart"/>
      <w:r w:rsidRPr="00A10DD6">
        <w:rPr>
          <w:rFonts w:ascii="Arial" w:hAnsi="Arial" w:cs="Arial"/>
          <w:sz w:val="20"/>
          <w:szCs w:val="20"/>
        </w:rPr>
        <w:t>Andrighi</w:t>
      </w:r>
      <w:proofErr w:type="spellEnd"/>
      <w:r w:rsidRPr="00A10DD6">
        <w:rPr>
          <w:rFonts w:ascii="Arial" w:hAnsi="Arial" w:cs="Arial"/>
          <w:sz w:val="20"/>
          <w:szCs w:val="20"/>
        </w:rPr>
        <w:t xml:space="preserve">, Terceira Turma, julgado em 7/3/2023, </w:t>
      </w:r>
      <w:proofErr w:type="spellStart"/>
      <w:r w:rsidRPr="00A10DD6">
        <w:rPr>
          <w:rFonts w:ascii="Arial" w:hAnsi="Arial" w:cs="Arial"/>
          <w:sz w:val="20"/>
          <w:szCs w:val="20"/>
        </w:rPr>
        <w:t>DJe</w:t>
      </w:r>
      <w:proofErr w:type="spellEnd"/>
      <w:r w:rsidRPr="00A10DD6">
        <w:rPr>
          <w:rFonts w:ascii="Arial" w:hAnsi="Arial" w:cs="Arial"/>
          <w:sz w:val="20"/>
          <w:szCs w:val="20"/>
        </w:rPr>
        <w:t xml:space="preserve"> de 10/3/2023.)</w:t>
      </w:r>
    </w:p>
    <w:p w:rsidR="001A5163" w:rsidRDefault="001A5163" w:rsidP="001A5163">
      <w:pPr>
        <w:widowControl w:val="0"/>
        <w:jc w:val="both"/>
        <w:rPr>
          <w:sz w:val="24"/>
          <w:szCs w:val="24"/>
        </w:rPr>
      </w:pPr>
    </w:p>
    <w:p w:rsidR="001A5163" w:rsidRDefault="001A5163" w:rsidP="001A5163">
      <w:pPr>
        <w:widowControl w:val="0"/>
        <w:jc w:val="both"/>
        <w:rPr>
          <w:sz w:val="24"/>
          <w:szCs w:val="24"/>
        </w:rPr>
      </w:pP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AGRAVO INTERNO NO RECURSO ESPECIAL. AÇÃO DE INDENIZAÇÃO POR DANOS MORAIS. CONSUMIDOR. PRODUTO ALIMENTÍCIO. CORPO ESTRANHO. INGESTÃO. PRESCINDÍVEL. DANO MORAL CARACTERIZADO. DANO IN RE IPSA. ATUAL ENTENDIMENTO DA 2ª SEÇÃO DO STJ. QUANTUM INDENIZATÓRIO. PROPORCIONALIDADE. PRECEDENTES. DECISÃO MANTIDA. AGRAVO INTERNO DESPROVIDO.</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1. A 2ª Seção desta Corte firmou o entendimento no sentido de que a aquisição de alimento industrializado, que expõe o consumidor a risco concreto de lesão à sua saúde ou à sua incolumidade física e psíquica, é suficiente para caracterizar dano moral indenizável, sendo desnecessária a ingestão do produto contaminado por corpo estranho para a configuração do dano.</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2. O montante compensatório a título de dano moral deve ser fixado considerando o método bifásico, norteador do arbitramento equitativo exercido pelo juiz, o qual analisa o interesse jurídico lesado e as peculiaridades ocorridas no caso para a definição do valor.</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highlight w:val="yellow"/>
        </w:rPr>
        <w:t>3. Quantia arbitrada que se mostra incapaz de gerar o enriquecimento ilícito do consumidor e suficiente para punir a empresa pela conduta reprovável.</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4. Agravo interno desprovido.</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w:t>
      </w:r>
      <w:proofErr w:type="spellStart"/>
      <w:r w:rsidRPr="00A10DD6">
        <w:rPr>
          <w:rFonts w:ascii="Arial" w:hAnsi="Arial" w:cs="Arial"/>
          <w:sz w:val="20"/>
          <w:szCs w:val="20"/>
        </w:rPr>
        <w:t>AgInt</w:t>
      </w:r>
      <w:proofErr w:type="spellEnd"/>
      <w:r w:rsidRPr="00A10DD6">
        <w:rPr>
          <w:rFonts w:ascii="Arial" w:hAnsi="Arial" w:cs="Arial"/>
          <w:sz w:val="20"/>
          <w:szCs w:val="20"/>
        </w:rPr>
        <w:t xml:space="preserve"> no </w:t>
      </w:r>
      <w:proofErr w:type="spellStart"/>
      <w:r w:rsidRPr="00A10DD6">
        <w:rPr>
          <w:rFonts w:ascii="Arial" w:hAnsi="Arial" w:cs="Arial"/>
          <w:sz w:val="20"/>
          <w:szCs w:val="20"/>
        </w:rPr>
        <w:t>REsp</w:t>
      </w:r>
      <w:proofErr w:type="spellEnd"/>
      <w:r w:rsidRPr="00A10DD6">
        <w:rPr>
          <w:rFonts w:ascii="Arial" w:hAnsi="Arial" w:cs="Arial"/>
          <w:sz w:val="20"/>
          <w:szCs w:val="20"/>
        </w:rPr>
        <w:t xml:space="preserve"> n. 1.517.591/MG, relator Ministro João Otávio de Noronha, Quarta Turma, julgado em 6/3/2023, </w:t>
      </w:r>
      <w:proofErr w:type="spellStart"/>
      <w:r w:rsidRPr="00A10DD6">
        <w:rPr>
          <w:rFonts w:ascii="Arial" w:hAnsi="Arial" w:cs="Arial"/>
          <w:sz w:val="20"/>
          <w:szCs w:val="20"/>
        </w:rPr>
        <w:t>DJe</w:t>
      </w:r>
      <w:proofErr w:type="spellEnd"/>
      <w:r w:rsidRPr="00A10DD6">
        <w:rPr>
          <w:rFonts w:ascii="Arial" w:hAnsi="Arial" w:cs="Arial"/>
          <w:sz w:val="20"/>
          <w:szCs w:val="20"/>
        </w:rPr>
        <w:t xml:space="preserve"> de 9/3/2023.)</w:t>
      </w:r>
    </w:p>
    <w:p w:rsidR="001A5163" w:rsidRPr="00A10DD6" w:rsidRDefault="001A5163" w:rsidP="001A5163">
      <w:pPr>
        <w:widowControl w:val="0"/>
        <w:jc w:val="both"/>
        <w:rPr>
          <w:rFonts w:ascii="Arial" w:hAnsi="Arial" w:cs="Arial"/>
          <w:sz w:val="20"/>
          <w:szCs w:val="20"/>
        </w:rPr>
      </w:pPr>
    </w:p>
    <w:p w:rsidR="001A5163" w:rsidRDefault="001A5163" w:rsidP="001A5163">
      <w:pPr>
        <w:widowControl w:val="0"/>
        <w:jc w:val="both"/>
        <w:rPr>
          <w:sz w:val="24"/>
          <w:szCs w:val="24"/>
        </w:rPr>
      </w:pP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CIVIL. AGRAVO INTERNO NO AGRAVO EM RECURSO ESPECIAL. CONTRATO DE COMPRA E VENDA DE IMÓVEL. RESCISÃO. RESTITUIÇÃO DAS IMPORTÂNCIAS PAGAS. TERMO INICIAL DA CORREÇÃO MONETÁRIA. DATA DE CADA DESEMBOLSO. SÚMULA N. 83 DO STJ. NÃO PREVALÊNCIA DA LEI N. 6.899/1981.</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1. "O entendimento desta Corte é no sentido de que, em caso de rescisão de contrato de compra e venda de imóvel, a correção monetária das parcelas pagas, para efeitos de restituição, incide a partir de cada desembolso" (</w:t>
      </w:r>
      <w:proofErr w:type="spellStart"/>
      <w:r w:rsidRPr="00A10DD6">
        <w:rPr>
          <w:rFonts w:ascii="Arial" w:hAnsi="Arial" w:cs="Arial"/>
          <w:sz w:val="20"/>
          <w:szCs w:val="20"/>
          <w:highlight w:val="yellow"/>
        </w:rPr>
        <w:t>AgInt</w:t>
      </w:r>
      <w:proofErr w:type="spellEnd"/>
      <w:r w:rsidRPr="00A10DD6">
        <w:rPr>
          <w:rFonts w:ascii="Arial" w:hAnsi="Arial" w:cs="Arial"/>
          <w:sz w:val="20"/>
          <w:szCs w:val="20"/>
          <w:highlight w:val="yellow"/>
        </w:rPr>
        <w:t xml:space="preserve"> no </w:t>
      </w:r>
      <w:proofErr w:type="spellStart"/>
      <w:r w:rsidRPr="00A10DD6">
        <w:rPr>
          <w:rFonts w:ascii="Arial" w:hAnsi="Arial" w:cs="Arial"/>
          <w:sz w:val="20"/>
          <w:szCs w:val="20"/>
          <w:highlight w:val="yellow"/>
        </w:rPr>
        <w:t>REsp</w:t>
      </w:r>
      <w:proofErr w:type="spellEnd"/>
      <w:r w:rsidRPr="00A10DD6">
        <w:rPr>
          <w:rFonts w:ascii="Arial" w:hAnsi="Arial" w:cs="Arial"/>
          <w:sz w:val="20"/>
          <w:szCs w:val="20"/>
          <w:highlight w:val="yellow"/>
        </w:rPr>
        <w:t xml:space="preserve"> n. 1.988.931/SP, Rel. Ministro LUIS FELIPE SALOMÃO, QUARTA TURMA, </w:t>
      </w:r>
      <w:proofErr w:type="spellStart"/>
      <w:r w:rsidRPr="00A10DD6">
        <w:rPr>
          <w:rFonts w:ascii="Arial" w:hAnsi="Arial" w:cs="Arial"/>
          <w:sz w:val="20"/>
          <w:szCs w:val="20"/>
          <w:highlight w:val="yellow"/>
        </w:rPr>
        <w:t>DJe</w:t>
      </w:r>
      <w:proofErr w:type="spellEnd"/>
      <w:r w:rsidRPr="00A10DD6">
        <w:rPr>
          <w:rFonts w:ascii="Arial" w:hAnsi="Arial" w:cs="Arial"/>
          <w:sz w:val="20"/>
          <w:szCs w:val="20"/>
          <w:highlight w:val="yellow"/>
        </w:rPr>
        <w:t xml:space="preserve"> 19/8/2022).</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2. Tal orientação prevalece sobre a antiga Lei n. 6.899/1981 em decorrência do princípio que veda o enriquecimento sem causa - no caso provocado pela inflação -, disciplinado na moderna legislação civil pátria.</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highlight w:val="yellow"/>
        </w:rPr>
        <w:t>3. Incidência da Súmula n. 83 do STJ.</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4. Agravo interno a que se nega provimento.</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w:t>
      </w:r>
      <w:proofErr w:type="spellStart"/>
      <w:r w:rsidRPr="00A10DD6">
        <w:rPr>
          <w:rFonts w:ascii="Arial" w:hAnsi="Arial" w:cs="Arial"/>
          <w:sz w:val="20"/>
          <w:szCs w:val="20"/>
        </w:rPr>
        <w:t>AgInt</w:t>
      </w:r>
      <w:proofErr w:type="spellEnd"/>
      <w:r w:rsidRPr="00A10DD6">
        <w:rPr>
          <w:rFonts w:ascii="Arial" w:hAnsi="Arial" w:cs="Arial"/>
          <w:sz w:val="20"/>
          <w:szCs w:val="20"/>
        </w:rPr>
        <w:t xml:space="preserve"> no </w:t>
      </w:r>
      <w:proofErr w:type="spellStart"/>
      <w:r w:rsidRPr="00A10DD6">
        <w:rPr>
          <w:rFonts w:ascii="Arial" w:hAnsi="Arial" w:cs="Arial"/>
          <w:sz w:val="20"/>
          <w:szCs w:val="20"/>
        </w:rPr>
        <w:t>AREsp</w:t>
      </w:r>
      <w:proofErr w:type="spellEnd"/>
      <w:r w:rsidRPr="00A10DD6">
        <w:rPr>
          <w:rFonts w:ascii="Arial" w:hAnsi="Arial" w:cs="Arial"/>
          <w:sz w:val="20"/>
          <w:szCs w:val="20"/>
        </w:rPr>
        <w:t xml:space="preserve"> n. 2.153.840/SP, relator Ministro Antonio Carlos Ferreira, Quarta Turma, julgado em 12/12/2022, </w:t>
      </w:r>
      <w:proofErr w:type="spellStart"/>
      <w:r w:rsidRPr="00A10DD6">
        <w:rPr>
          <w:rFonts w:ascii="Arial" w:hAnsi="Arial" w:cs="Arial"/>
          <w:sz w:val="20"/>
          <w:szCs w:val="20"/>
        </w:rPr>
        <w:t>DJe</w:t>
      </w:r>
      <w:proofErr w:type="spellEnd"/>
      <w:r w:rsidRPr="00A10DD6">
        <w:rPr>
          <w:rFonts w:ascii="Arial" w:hAnsi="Arial" w:cs="Arial"/>
          <w:sz w:val="20"/>
          <w:szCs w:val="20"/>
        </w:rPr>
        <w:t xml:space="preserve"> de 15/12/2022.)</w:t>
      </w:r>
    </w:p>
    <w:p w:rsidR="001A5163" w:rsidRDefault="001A5163" w:rsidP="001A5163">
      <w:pPr>
        <w:widowControl w:val="0"/>
        <w:jc w:val="both"/>
        <w:rPr>
          <w:sz w:val="24"/>
          <w:szCs w:val="24"/>
        </w:rPr>
      </w:pP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ADMINISTRATIVO. PATRIMÔNIO PÚBLICO. TAXA DE OCUPAÇÃO. ART. 24 DA LEI 4.545/1964. INEXISTÊNCIA DE ATO OU NEGÓCIO JURÍDICO FORMALIZADO AUTORIZANDO A OCUPAÇÃO DO IMÓVEL PELO PARTICULAR. PRINCÍPIO DA BOA-FÉ OBJETIVA E PRINCÍPIO DA INDISPONIBILIDADE DO INTERESSE PÚBLICO. ARTS. 102, 884 E 1.216 DO CÓDIGO CIVIL. ENRIQUECIMENTO SEM CAUSA. OCUPAÇÃO OU FRUIÇÃO IRREGULAR DE BEM PÚBLICO. DEVERES DE RESTITUIÇÃO, RESSARCIMENTO, RESTAURAÇÃO E PAGAMENTO DE TRIBUTOS.</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1. A interpretação de que a taxa de ocupação de imóvel público só é devida caso haja prévia formalização de ato ou negócio jurídico administrativo contraria o princípio da boa-fé objetiva. O ocupante irregular de bem público não pode se beneficiar da sua própria ilegalidade para deixar de cumprir obrigação a todos imposta: o pagamento da taxa de ocupação.</w:t>
      </w:r>
    </w:p>
    <w:p w:rsidR="001A5163" w:rsidRPr="00A10DD6" w:rsidRDefault="001A5163" w:rsidP="001A5163">
      <w:pPr>
        <w:widowControl w:val="0"/>
        <w:jc w:val="both"/>
        <w:rPr>
          <w:rFonts w:ascii="Arial" w:hAnsi="Arial" w:cs="Arial"/>
          <w:sz w:val="20"/>
          <w:szCs w:val="20"/>
          <w:highlight w:val="yellow"/>
        </w:rPr>
      </w:pPr>
      <w:r w:rsidRPr="00A10DD6">
        <w:rPr>
          <w:rFonts w:ascii="Arial" w:hAnsi="Arial" w:cs="Arial"/>
          <w:sz w:val="20"/>
          <w:szCs w:val="20"/>
          <w:highlight w:val="yellow"/>
        </w:rPr>
        <w:t xml:space="preserve">2. Nessa linha de raciocínio, dispensar o detentor irregular de imóvel público de pagar taxa de ocupação, modalidade de ressarcimento mínimo (e não de lucro), é ferir duplamente o interesse coletivo, pois, não obstante a situação de apropriação ilícita, alça o já infrator à injusta posição de privilégio </w:t>
      </w:r>
      <w:proofErr w:type="spellStart"/>
      <w:r w:rsidRPr="00A10DD6">
        <w:rPr>
          <w:rFonts w:ascii="Arial" w:hAnsi="Arial" w:cs="Arial"/>
          <w:sz w:val="20"/>
          <w:szCs w:val="20"/>
          <w:highlight w:val="yellow"/>
        </w:rPr>
        <w:t>anti-isonômico</w:t>
      </w:r>
      <w:proofErr w:type="spellEnd"/>
      <w:r w:rsidRPr="00A10DD6">
        <w:rPr>
          <w:rFonts w:ascii="Arial" w:hAnsi="Arial" w:cs="Arial"/>
          <w:sz w:val="20"/>
          <w:szCs w:val="20"/>
          <w:highlight w:val="yellow"/>
        </w:rPr>
        <w:t xml:space="preserve"> em relação aos outros cidadãos, cumpridores dos requisitos e formalidades exigidos para a fruição do patrimônio coletivo. Tal isenção gera atraente e irresistível (e por isso mesmo indefensável) incentivo aos particulares a não se incomodarem com a ilegalidade e a nela repousarem suas esperanças e eternamente permanecerem. Se a ilegalidade se mostra mais vantajosa do que a legalidade, aí se materializa quadro de grave ameaça a uma das premissas existenciais do Estado de Direito, que depende, fundamentalmente, do cumprimento da lei </w:t>
      </w:r>
      <w:r w:rsidRPr="00A10DD6">
        <w:rPr>
          <w:rFonts w:ascii="Arial" w:hAnsi="Arial" w:cs="Arial"/>
          <w:sz w:val="20"/>
          <w:szCs w:val="20"/>
          <w:highlight w:val="yellow"/>
        </w:rPr>
        <w:lastRenderedPageBreak/>
        <w:t>por todos.</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highlight w:val="yellow"/>
        </w:rPr>
        <w:t xml:space="preserve">3. Nos termos do art. 884 do Código Civil, caracteriza enriquecimento sem causa ocupar, usar, fruir ou explorar ilicitamente a totalidade ou parte do patrimônio público, material e imaterial. À luz do princípio da indisponibilidade do interesse público, eventual omissão do Estado no exercício do seu poder de polícia - ao deixar de fiscalizar e adotar medidas cabíveis para se opor ou reagir à apropriação irregular de bem público - não transforma o errado em certo, irrelevante ademais que a </w:t>
      </w:r>
      <w:proofErr w:type="spellStart"/>
      <w:r w:rsidRPr="00A10DD6">
        <w:rPr>
          <w:rFonts w:ascii="Arial" w:hAnsi="Arial" w:cs="Arial"/>
          <w:sz w:val="20"/>
          <w:szCs w:val="20"/>
          <w:highlight w:val="yellow"/>
        </w:rPr>
        <w:t>injuricidade</w:t>
      </w:r>
      <w:proofErr w:type="spellEnd"/>
      <w:r w:rsidRPr="00A10DD6">
        <w:rPr>
          <w:rFonts w:ascii="Arial" w:hAnsi="Arial" w:cs="Arial"/>
          <w:sz w:val="20"/>
          <w:szCs w:val="20"/>
          <w:highlight w:val="yellow"/>
        </w:rPr>
        <w:t xml:space="preserve"> ocorra às vistas do Administrador ou com a sua inércia, conivência ou mesmo (inconcebível) aceitação tácita. Tolerância administrativa não converte em boa-fé aquilo que a lei qualifica como má-fé, pois admitir-se o contrário seria o mesmo que reconhecer a servidores públicos a possibilidade de, por meio de um simples fechar de olhos, rasgarem a norma e a vontade do legislador.</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4. Recurso Especial provido.</w:t>
      </w:r>
    </w:p>
    <w:p w:rsidR="001A5163" w:rsidRPr="00A10DD6" w:rsidRDefault="001A5163" w:rsidP="001A5163">
      <w:pPr>
        <w:widowControl w:val="0"/>
        <w:jc w:val="both"/>
        <w:rPr>
          <w:rFonts w:ascii="Arial" w:hAnsi="Arial" w:cs="Arial"/>
          <w:sz w:val="20"/>
          <w:szCs w:val="20"/>
        </w:rPr>
      </w:pPr>
      <w:r w:rsidRPr="00A10DD6">
        <w:rPr>
          <w:rFonts w:ascii="Arial" w:hAnsi="Arial" w:cs="Arial"/>
          <w:sz w:val="20"/>
          <w:szCs w:val="20"/>
        </w:rPr>
        <w:t>(</w:t>
      </w:r>
      <w:proofErr w:type="spellStart"/>
      <w:r w:rsidRPr="00A10DD6">
        <w:rPr>
          <w:rFonts w:ascii="Arial" w:hAnsi="Arial" w:cs="Arial"/>
          <w:sz w:val="20"/>
          <w:szCs w:val="20"/>
        </w:rPr>
        <w:t>REsp</w:t>
      </w:r>
      <w:proofErr w:type="spellEnd"/>
      <w:r w:rsidRPr="00A10DD6">
        <w:rPr>
          <w:rFonts w:ascii="Arial" w:hAnsi="Arial" w:cs="Arial"/>
          <w:sz w:val="20"/>
          <w:szCs w:val="20"/>
        </w:rPr>
        <w:t xml:space="preserve"> n. 1.986.143/DF, relator Ministro Herman Benjamin, Segunda Turma, julgado em 6/12/2022, </w:t>
      </w:r>
      <w:proofErr w:type="spellStart"/>
      <w:r w:rsidRPr="00A10DD6">
        <w:rPr>
          <w:rFonts w:ascii="Arial" w:hAnsi="Arial" w:cs="Arial"/>
          <w:sz w:val="20"/>
          <w:szCs w:val="20"/>
        </w:rPr>
        <w:t>DJe</w:t>
      </w:r>
      <w:proofErr w:type="spellEnd"/>
      <w:r w:rsidRPr="00A10DD6">
        <w:rPr>
          <w:rFonts w:ascii="Arial" w:hAnsi="Arial" w:cs="Arial"/>
          <w:sz w:val="20"/>
          <w:szCs w:val="20"/>
        </w:rPr>
        <w:t xml:space="preserve"> de 19/12/2022.)</w:t>
      </w:r>
    </w:p>
    <w:p w:rsidR="001A5163" w:rsidRDefault="001A5163" w:rsidP="001A5163">
      <w:pPr>
        <w:widowControl w:val="0"/>
        <w:jc w:val="both"/>
        <w:rPr>
          <w:sz w:val="24"/>
          <w:szCs w:val="24"/>
        </w:rPr>
      </w:pPr>
    </w:p>
    <w:p w:rsidR="001A5163" w:rsidRPr="00FE40E4" w:rsidRDefault="001A5163" w:rsidP="001A5163">
      <w:pPr>
        <w:widowControl w:val="0"/>
        <w:jc w:val="both"/>
        <w:rPr>
          <w:sz w:val="24"/>
          <w:szCs w:val="24"/>
        </w:rPr>
      </w:pPr>
    </w:p>
    <w:p w:rsidR="00B23C85" w:rsidRDefault="00B23C85" w:rsidP="00310404">
      <w:pPr>
        <w:widowControl w:val="0"/>
        <w:jc w:val="both"/>
        <w:rPr>
          <w:sz w:val="24"/>
          <w:szCs w:val="24"/>
        </w:rPr>
      </w:pPr>
    </w:p>
    <w:p w:rsidR="00DA01E4" w:rsidRPr="00B86FA3" w:rsidRDefault="007E65D3" w:rsidP="00310404">
      <w:pPr>
        <w:widowControl w:val="0"/>
        <w:jc w:val="both"/>
        <w:rPr>
          <w:b/>
          <w:smallCaps/>
          <w:color w:val="4F6228" w:themeColor="accent3" w:themeShade="80"/>
          <w:sz w:val="24"/>
          <w:szCs w:val="24"/>
          <w:u w:val="single"/>
        </w:rPr>
      </w:pPr>
      <w:r w:rsidRPr="00B86FA3">
        <w:rPr>
          <w:b/>
          <w:color w:val="4F6228" w:themeColor="accent3" w:themeShade="80"/>
          <w:sz w:val="24"/>
          <w:szCs w:val="24"/>
          <w:u w:val="single"/>
        </w:rPr>
        <w:t xml:space="preserve">- </w:t>
      </w:r>
      <w:r w:rsidRPr="00B86FA3">
        <w:rPr>
          <w:b/>
          <w:smallCaps/>
          <w:color w:val="4F6228" w:themeColor="accent3" w:themeShade="80"/>
          <w:sz w:val="24"/>
          <w:szCs w:val="24"/>
          <w:u w:val="single"/>
        </w:rPr>
        <w:t>Gestão de Negócios</w:t>
      </w:r>
    </w:p>
    <w:p w:rsidR="00FF52B0" w:rsidRDefault="00A73B11" w:rsidP="00310404">
      <w:pPr>
        <w:widowControl w:val="0"/>
      </w:pPr>
    </w:p>
    <w:p w:rsidR="007E65D3" w:rsidRDefault="007E65D3" w:rsidP="00310404">
      <w:pPr>
        <w:widowControl w:val="0"/>
        <w:jc w:val="both"/>
      </w:pPr>
      <w:r w:rsidRPr="00B86FA3">
        <w:rPr>
          <w:b/>
          <w:color w:val="548DD4" w:themeColor="text2" w:themeTint="99"/>
        </w:rPr>
        <w:t>Definição</w:t>
      </w:r>
      <w:r>
        <w:t>: ocorre quando alguém, por livre iniciativa, cuida de interesse de outrem</w:t>
      </w:r>
      <w:r w:rsidR="00485751">
        <w:t>, conforme a presumível vontade deste</w:t>
      </w:r>
      <w:r w:rsidR="009D7CA3">
        <w:t>, ou seja, sem estar plenamente autorizado</w:t>
      </w:r>
      <w:r w:rsidR="00485751">
        <w:t xml:space="preserve">. Em síntese: é a administração oficiosa de interesses alheios, sem procuração. </w:t>
      </w:r>
    </w:p>
    <w:p w:rsidR="00485751" w:rsidRDefault="00485751" w:rsidP="00310404">
      <w:pPr>
        <w:widowControl w:val="0"/>
        <w:jc w:val="both"/>
      </w:pPr>
    </w:p>
    <w:p w:rsidR="00485751" w:rsidRDefault="00485751" w:rsidP="00310404">
      <w:pPr>
        <w:widowControl w:val="0"/>
        <w:jc w:val="both"/>
      </w:pPr>
      <w:r>
        <w:t xml:space="preserve">- Quem gere negócio alheio, nessas condições, chama-se </w:t>
      </w:r>
      <w:r>
        <w:rPr>
          <w:i/>
        </w:rPr>
        <w:t>gestor</w:t>
      </w:r>
      <w:r>
        <w:t xml:space="preserve">. A outra parte é denominada </w:t>
      </w:r>
      <w:r>
        <w:rPr>
          <w:i/>
        </w:rPr>
        <w:t>dono</w:t>
      </w:r>
      <w:r w:rsidR="009D7CA3">
        <w:rPr>
          <w:i/>
        </w:rPr>
        <w:t xml:space="preserve"> do negócio</w:t>
      </w:r>
      <w:r>
        <w:t>.</w:t>
      </w:r>
    </w:p>
    <w:p w:rsidR="00485751" w:rsidRDefault="00485751" w:rsidP="00310404">
      <w:pPr>
        <w:widowControl w:val="0"/>
        <w:jc w:val="both"/>
      </w:pPr>
    </w:p>
    <w:p w:rsidR="00485751" w:rsidRPr="00B86FA3" w:rsidRDefault="001F7F7A" w:rsidP="00310404">
      <w:pPr>
        <w:widowControl w:val="0"/>
        <w:jc w:val="both"/>
        <w:rPr>
          <w:b/>
          <w:color w:val="548DD4" w:themeColor="text2" w:themeTint="99"/>
        </w:rPr>
      </w:pPr>
      <w:r w:rsidRPr="00B86FA3">
        <w:rPr>
          <w:b/>
          <w:color w:val="548DD4" w:themeColor="text2" w:themeTint="99"/>
        </w:rPr>
        <w:t>- Requisitos:</w:t>
      </w:r>
    </w:p>
    <w:p w:rsidR="001F7F7A" w:rsidRDefault="001F7F7A" w:rsidP="00310404">
      <w:pPr>
        <w:widowControl w:val="0"/>
        <w:jc w:val="both"/>
      </w:pPr>
    </w:p>
    <w:p w:rsidR="001F7F7A" w:rsidRDefault="001F7F7A" w:rsidP="00310404">
      <w:pPr>
        <w:widowControl w:val="0"/>
        <w:jc w:val="both"/>
      </w:pPr>
      <w:r>
        <w:t xml:space="preserve">a) </w:t>
      </w:r>
      <w:proofErr w:type="spellStart"/>
      <w:r>
        <w:rPr>
          <w:i/>
        </w:rPr>
        <w:t>negotium</w:t>
      </w:r>
      <w:proofErr w:type="spellEnd"/>
      <w:r>
        <w:rPr>
          <w:i/>
        </w:rPr>
        <w:t xml:space="preserve"> alienum</w:t>
      </w:r>
      <w:r>
        <w:t xml:space="preserve"> – negócio alheio;</w:t>
      </w:r>
    </w:p>
    <w:p w:rsidR="001F7F7A" w:rsidRDefault="001F7F7A" w:rsidP="00310404">
      <w:pPr>
        <w:widowControl w:val="0"/>
        <w:jc w:val="both"/>
      </w:pPr>
    </w:p>
    <w:p w:rsidR="001F7F7A" w:rsidRDefault="001F7F7A" w:rsidP="00310404">
      <w:pPr>
        <w:widowControl w:val="0"/>
        <w:jc w:val="both"/>
      </w:pPr>
      <w:r>
        <w:t xml:space="preserve">b) </w:t>
      </w:r>
      <w:proofErr w:type="spellStart"/>
      <w:r>
        <w:rPr>
          <w:i/>
        </w:rPr>
        <w:t>utiliter</w:t>
      </w:r>
      <w:proofErr w:type="spellEnd"/>
      <w:r>
        <w:rPr>
          <w:i/>
        </w:rPr>
        <w:t xml:space="preserve"> </w:t>
      </w:r>
      <w:proofErr w:type="spellStart"/>
      <w:r>
        <w:rPr>
          <w:i/>
        </w:rPr>
        <w:t>coeptum</w:t>
      </w:r>
      <w:proofErr w:type="spellEnd"/>
      <w:r>
        <w:t xml:space="preserve"> – intenção de ser útil ao dono do negócio;</w:t>
      </w:r>
    </w:p>
    <w:p w:rsidR="001F7F7A" w:rsidRDefault="001F7F7A" w:rsidP="00310404">
      <w:pPr>
        <w:widowControl w:val="0"/>
        <w:jc w:val="both"/>
      </w:pPr>
    </w:p>
    <w:p w:rsidR="001F7F7A" w:rsidRDefault="001F7F7A" w:rsidP="00310404">
      <w:pPr>
        <w:widowControl w:val="0"/>
        <w:jc w:val="both"/>
      </w:pPr>
      <w:r>
        <w:t xml:space="preserve">c) </w:t>
      </w:r>
      <w:r>
        <w:rPr>
          <w:i/>
        </w:rPr>
        <w:t xml:space="preserve">animus negotia aliena </w:t>
      </w:r>
      <w:proofErr w:type="spellStart"/>
      <w:r>
        <w:rPr>
          <w:i/>
        </w:rPr>
        <w:t>geranti</w:t>
      </w:r>
      <w:proofErr w:type="spellEnd"/>
      <w:r>
        <w:rPr>
          <w:i/>
        </w:rPr>
        <w:t xml:space="preserve"> - </w:t>
      </w:r>
      <w:r>
        <w:t xml:space="preserve">o gestor deve exercer a atividade conforme o interesse do </w:t>
      </w:r>
      <w:r>
        <w:rPr>
          <w:i/>
        </w:rPr>
        <w:t>dominus</w:t>
      </w:r>
      <w:r>
        <w:t>;</w:t>
      </w:r>
    </w:p>
    <w:p w:rsidR="001F7F7A" w:rsidRDefault="001F7F7A" w:rsidP="00310404">
      <w:pPr>
        <w:widowControl w:val="0"/>
        <w:jc w:val="both"/>
      </w:pPr>
    </w:p>
    <w:p w:rsidR="001F7F7A" w:rsidRDefault="001F7F7A" w:rsidP="00310404">
      <w:pPr>
        <w:widowControl w:val="0"/>
        <w:jc w:val="both"/>
      </w:pPr>
      <w:r>
        <w:t>d) espontaneidade da atuação do gestor</w:t>
      </w:r>
      <w:r w:rsidR="008238BD">
        <w:t xml:space="preserve"> – não existe outorga de </w:t>
      </w:r>
      <w:r w:rsidR="008238BD">
        <w:rPr>
          <w:i/>
        </w:rPr>
        <w:t>autorização representativa</w:t>
      </w:r>
      <w:r>
        <w:t>;</w:t>
      </w:r>
    </w:p>
    <w:p w:rsidR="001F7F7A" w:rsidRDefault="001F7F7A" w:rsidP="00310404">
      <w:pPr>
        <w:widowControl w:val="0"/>
        <w:jc w:val="both"/>
      </w:pPr>
    </w:p>
    <w:p w:rsidR="001F7F7A" w:rsidRDefault="001F7F7A" w:rsidP="00310404">
      <w:pPr>
        <w:widowControl w:val="0"/>
        <w:jc w:val="both"/>
      </w:pPr>
      <w:r>
        <w:t>e) propósito de obrigar.</w:t>
      </w:r>
    </w:p>
    <w:p w:rsidR="001B5A1A" w:rsidRDefault="001B5A1A" w:rsidP="00310404">
      <w:pPr>
        <w:widowControl w:val="0"/>
        <w:jc w:val="both"/>
      </w:pPr>
    </w:p>
    <w:p w:rsidR="001B5A1A" w:rsidRPr="00B86FA3" w:rsidRDefault="001B5A1A" w:rsidP="00310404">
      <w:pPr>
        <w:widowControl w:val="0"/>
        <w:jc w:val="both"/>
        <w:rPr>
          <w:b/>
          <w:color w:val="548DD4" w:themeColor="text2" w:themeTint="99"/>
        </w:rPr>
      </w:pPr>
      <w:r w:rsidRPr="00B86FA3">
        <w:rPr>
          <w:b/>
          <w:color w:val="548DD4" w:themeColor="text2" w:themeTint="99"/>
        </w:rPr>
        <w:t>- Conteúdo:</w:t>
      </w:r>
    </w:p>
    <w:p w:rsidR="001B5A1A" w:rsidRDefault="001B5A1A" w:rsidP="00310404">
      <w:pPr>
        <w:widowControl w:val="0"/>
        <w:jc w:val="both"/>
        <w:rPr>
          <w:b/>
        </w:rPr>
      </w:pPr>
    </w:p>
    <w:p w:rsidR="001B5A1A" w:rsidRPr="00B86FA3" w:rsidRDefault="001B5A1A" w:rsidP="00310404">
      <w:pPr>
        <w:widowControl w:val="0"/>
        <w:jc w:val="both"/>
        <w:rPr>
          <w:color w:val="FF0000"/>
        </w:rPr>
      </w:pPr>
      <w:r w:rsidRPr="00B86FA3">
        <w:rPr>
          <w:color w:val="FF0000"/>
        </w:rPr>
        <w:t>- Obrigações do gestor:</w:t>
      </w:r>
    </w:p>
    <w:p w:rsidR="001B5A1A" w:rsidRDefault="001B5A1A" w:rsidP="00310404">
      <w:pPr>
        <w:widowControl w:val="0"/>
        <w:jc w:val="both"/>
      </w:pPr>
    </w:p>
    <w:p w:rsidR="001B5A1A" w:rsidRDefault="001B5A1A" w:rsidP="00310404">
      <w:pPr>
        <w:widowControl w:val="0"/>
        <w:jc w:val="both"/>
      </w:pPr>
      <w:r>
        <w:t xml:space="preserve">a) empregar toda </w:t>
      </w:r>
      <w:r w:rsidR="006255B4">
        <w:t>diligência habitual na administração do negócio;</w:t>
      </w:r>
    </w:p>
    <w:p w:rsidR="006255B4" w:rsidRDefault="006255B4" w:rsidP="00310404">
      <w:pPr>
        <w:widowControl w:val="0"/>
        <w:jc w:val="both"/>
      </w:pPr>
      <w:r>
        <w:t>b) comunicar ao dono do negócio a gestão que assumiu;</w:t>
      </w:r>
    </w:p>
    <w:p w:rsidR="006255B4" w:rsidRDefault="006255B4" w:rsidP="00310404">
      <w:pPr>
        <w:widowControl w:val="0"/>
        <w:jc w:val="both"/>
      </w:pPr>
      <w:r>
        <w:t>c) continuar a gestão começada a encerrá-la, se houver perigo;</w:t>
      </w:r>
    </w:p>
    <w:p w:rsidR="006255B4" w:rsidRDefault="006255B4" w:rsidP="00310404">
      <w:pPr>
        <w:widowControl w:val="0"/>
        <w:jc w:val="both"/>
      </w:pPr>
      <w:r>
        <w:t>d) prestar contas de sua gestão, compreendendo a obrigação de ressarcir todos os danos eventualmente resultantes da gestão e a de restituir o proveito retirado da gestão.</w:t>
      </w:r>
    </w:p>
    <w:p w:rsidR="006255B4" w:rsidRDefault="006255B4" w:rsidP="00310404">
      <w:pPr>
        <w:widowControl w:val="0"/>
        <w:jc w:val="both"/>
      </w:pPr>
    </w:p>
    <w:p w:rsidR="009A4104" w:rsidRPr="00B86FA3" w:rsidRDefault="009A4104" w:rsidP="00310404">
      <w:pPr>
        <w:widowControl w:val="0"/>
        <w:jc w:val="both"/>
        <w:rPr>
          <w:b/>
          <w:color w:val="FF0000"/>
        </w:rPr>
      </w:pPr>
      <w:r w:rsidRPr="00B86FA3">
        <w:rPr>
          <w:b/>
          <w:color w:val="FF0000"/>
        </w:rPr>
        <w:t>- Responsabilidade do gestor:</w:t>
      </w:r>
    </w:p>
    <w:p w:rsidR="009A4104" w:rsidRDefault="009A4104" w:rsidP="00310404">
      <w:pPr>
        <w:widowControl w:val="0"/>
        <w:jc w:val="both"/>
        <w:rPr>
          <w:b/>
        </w:rPr>
      </w:pPr>
    </w:p>
    <w:p w:rsidR="009A4104" w:rsidRDefault="009A4104" w:rsidP="00310404">
      <w:pPr>
        <w:widowControl w:val="0"/>
        <w:jc w:val="both"/>
      </w:pPr>
      <w:r>
        <w:t xml:space="preserve">a) quando iniciar a gestão contra a vontade expressa ou presumível do </w:t>
      </w:r>
      <w:r>
        <w:rPr>
          <w:i/>
        </w:rPr>
        <w:t>dominus</w:t>
      </w:r>
      <w:r>
        <w:t>;</w:t>
      </w:r>
    </w:p>
    <w:p w:rsidR="009A4104" w:rsidRDefault="009A4104" w:rsidP="00310404">
      <w:pPr>
        <w:widowControl w:val="0"/>
        <w:jc w:val="both"/>
      </w:pPr>
      <w:r>
        <w:t>b) quando fizer operações arriscadas;</w:t>
      </w:r>
    </w:p>
    <w:p w:rsidR="009A4104" w:rsidRPr="009A4104" w:rsidRDefault="009A4104" w:rsidP="00310404">
      <w:pPr>
        <w:widowControl w:val="0"/>
        <w:jc w:val="both"/>
      </w:pPr>
      <w:r>
        <w:t>c) quando preterir interesses do dono do negócio em favor dos seus próprios.</w:t>
      </w:r>
    </w:p>
    <w:p w:rsidR="009A4104" w:rsidRDefault="009A4104" w:rsidP="00310404">
      <w:pPr>
        <w:widowControl w:val="0"/>
        <w:jc w:val="both"/>
      </w:pPr>
    </w:p>
    <w:p w:rsidR="006255B4" w:rsidRDefault="006255B4" w:rsidP="00310404">
      <w:pPr>
        <w:widowControl w:val="0"/>
        <w:jc w:val="both"/>
      </w:pPr>
    </w:p>
    <w:p w:rsidR="006255B4" w:rsidRPr="00B86FA3" w:rsidRDefault="009A4104" w:rsidP="00310404">
      <w:pPr>
        <w:widowControl w:val="0"/>
        <w:jc w:val="both"/>
        <w:rPr>
          <w:color w:val="FF0000"/>
        </w:rPr>
      </w:pPr>
      <w:r w:rsidRPr="00B86FA3">
        <w:rPr>
          <w:color w:val="FF0000"/>
        </w:rPr>
        <w:t xml:space="preserve">- Obrigações do </w:t>
      </w:r>
      <w:r w:rsidRPr="00B86FA3">
        <w:rPr>
          <w:i/>
          <w:color w:val="FF0000"/>
        </w:rPr>
        <w:t>Dono do Negócio</w:t>
      </w:r>
      <w:r w:rsidRPr="00B86FA3">
        <w:rPr>
          <w:color w:val="FF0000"/>
        </w:rPr>
        <w:t>:</w:t>
      </w:r>
    </w:p>
    <w:p w:rsidR="009A4104" w:rsidRDefault="009A4104" w:rsidP="00310404">
      <w:pPr>
        <w:widowControl w:val="0"/>
        <w:jc w:val="both"/>
      </w:pPr>
    </w:p>
    <w:p w:rsidR="009A4104" w:rsidRDefault="009A4104" w:rsidP="00310404">
      <w:pPr>
        <w:widowControl w:val="0"/>
        <w:jc w:val="both"/>
      </w:pPr>
      <w:r>
        <w:t>a) cumprir as obrigações contraídas em seu nome, se o negócio for utilmente administrado;</w:t>
      </w:r>
    </w:p>
    <w:p w:rsidR="009A4104" w:rsidRDefault="009A4104" w:rsidP="00310404">
      <w:pPr>
        <w:widowControl w:val="0"/>
        <w:jc w:val="both"/>
      </w:pPr>
    </w:p>
    <w:p w:rsidR="009A4104" w:rsidRDefault="009A4104" w:rsidP="00310404">
      <w:pPr>
        <w:widowControl w:val="0"/>
        <w:jc w:val="both"/>
      </w:pPr>
      <w:r>
        <w:t>b) reembolsar ao gestor as despesas necessárias ou úteis que houver feito.</w:t>
      </w:r>
    </w:p>
    <w:p w:rsidR="009A4104" w:rsidRDefault="009A4104" w:rsidP="00310404">
      <w:pPr>
        <w:widowControl w:val="0"/>
        <w:jc w:val="both"/>
      </w:pPr>
    </w:p>
    <w:p w:rsidR="009A4104" w:rsidRDefault="009A4104" w:rsidP="00310404">
      <w:pPr>
        <w:widowControl w:val="0"/>
        <w:jc w:val="both"/>
      </w:pPr>
    </w:p>
    <w:p w:rsidR="009A4104" w:rsidRDefault="009A4104" w:rsidP="00310404">
      <w:pPr>
        <w:widowControl w:val="0"/>
        <w:jc w:val="both"/>
      </w:pPr>
      <w:r>
        <w:t xml:space="preserve">- </w:t>
      </w:r>
      <w:r w:rsidRPr="00B86FA3">
        <w:rPr>
          <w:b/>
          <w:color w:val="548DD4" w:themeColor="text2" w:themeTint="99"/>
        </w:rPr>
        <w:t>Ratificação</w:t>
      </w:r>
      <w:r>
        <w:rPr>
          <w:b/>
        </w:rPr>
        <w:t xml:space="preserve">: </w:t>
      </w:r>
      <w:r>
        <w:t xml:space="preserve">declaração unilateral de vontade mediante a qual a pessoa em nome da qual foi concluído um contrato por simples gestão de negócios dá, posteriormente ao fato, a necessária autorização representativa. Retroage ao dia do começo da gestão. </w:t>
      </w:r>
    </w:p>
    <w:p w:rsidR="00061EB0" w:rsidRDefault="00061EB0" w:rsidP="00310404">
      <w:pPr>
        <w:widowControl w:val="0"/>
        <w:jc w:val="both"/>
      </w:pPr>
    </w:p>
    <w:p w:rsidR="00061EB0" w:rsidRDefault="00061EB0" w:rsidP="00310404">
      <w:pPr>
        <w:widowControl w:val="0"/>
        <w:jc w:val="both"/>
      </w:pPr>
    </w:p>
    <w:p w:rsidR="009D7CA3" w:rsidRDefault="009D7CA3" w:rsidP="00310404">
      <w:pPr>
        <w:widowControl w:val="0"/>
        <w:jc w:val="both"/>
      </w:pPr>
      <w:r>
        <w:t xml:space="preserve">- Distingue-se de figuras semelhantes, tal como o mandato, o </w:t>
      </w:r>
      <w:r w:rsidR="00726AF6">
        <w:t>contrato em favor de terceiros.</w:t>
      </w:r>
    </w:p>
    <w:p w:rsidR="00726AF6" w:rsidRDefault="00726AF6" w:rsidP="00310404">
      <w:pPr>
        <w:widowControl w:val="0"/>
        <w:jc w:val="both"/>
      </w:pP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1. RECURSO ESPECIAL REPRESENTATIVO DE CONTROVÉRSIA. CIVIL. CONTRATO DE PLANO OU SEGURO DE ASSISTÊNCIA À SAÚDE. PRETENSÃO DE NULIDADE DE CLÁUSULA DE REAJUSTE. ALEGADO CARÁTER ABUSIVO. CUMULAÇÃO COM PRETENSÃO DE RESTITUIÇÃO DOS VALORES PAGOS INDEVIDAMENTE. EFEITO FINANCEIRO DO PROVIMENTO JUDICIAL. AÇÃO AJUIZADA AINDA NA VIGÊNCIA DO CONTRATO. NATUREZA CONTINUATIVA DA RELAÇÃO JURÍDICA. DECADÊNCIA. AFASTAMENTO. PRAZO PRESCRICIONAL TRIENAL. ART. 206, § 3º, IV, DO CÓDIGO CIVIL DE 2002. PRETENSÃO FUNDADA NO ENRIQUECIMENTO SEM CAUSA. 2. CASO CONCRETO: ENTENDIMENTO DO TRIBUNAL A QUO CONVERGE COM A TESE FIRMADA NO REPETITIVO. PRESCRIÇÃO TRIENAL. ENRIQUECIMENTO SEM CAUSA. PEDIDO DE RECONHECIMENTO DA PRESCRIÇÃO ÂNUA PREVISTA NO ART. 206, § 1º, II DO CC/2002. AFASTAMENTO. RECURSO ESPECIAL A QUE SE NEGA PROVIMENTO.</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 xml:space="preserve">1. Em se tratando de ação em que o autor, ainda durante a vigência do contrato, pretende, no âmbito de relação de trato sucessivo, o reconhecimento do caráter abusivo de cláusula contratual com a consequente restituição dos valores pagos indevidamente, torna-se despicienda a discussão acerca de ser caso de nulidade absoluta do negócio jurídico - com provimento jurisdicional de natureza declaratória pura, o que levaria à imprescritibilidade da pretensão - ou de nulidade relativa - com provimento jurisdicional de natureza constitutiva negativa, o que atrairia os prazos de decadência, cujo início da contagem, contudo, dependeria da conclusão do contrato (CC/2002, art. 179). </w:t>
      </w:r>
      <w:r w:rsidRPr="00033CA4">
        <w:rPr>
          <w:rFonts w:ascii="Arial" w:hAnsi="Arial" w:cs="Arial"/>
          <w:sz w:val="20"/>
          <w:szCs w:val="20"/>
          <w:highlight w:val="yellow"/>
        </w:rPr>
        <w:t>Isso porque a pretensão última desse tipo de demanda, partindo-se da premissa de ser a cláusula contratual abusiva ou ilegal, é de natureza condenatória, fundada no ressarcimento de pagamento indevido, sendo, pois, alcançável pela prescrição. Então, estando o contrato ainda em curso, esta pretensão condenatória, prescritível, é que deve nortear a análise do prazo aplicável para a perseguição dos efeitos financeiros decorrentes da invalidade do contrato.</w:t>
      </w:r>
    </w:p>
    <w:p w:rsidR="00726AF6" w:rsidRPr="00033CA4" w:rsidRDefault="00726AF6" w:rsidP="00726AF6">
      <w:pPr>
        <w:widowControl w:val="0"/>
        <w:jc w:val="both"/>
        <w:rPr>
          <w:rFonts w:ascii="Arial" w:hAnsi="Arial" w:cs="Arial"/>
          <w:sz w:val="20"/>
          <w:szCs w:val="20"/>
          <w:highlight w:val="yellow"/>
        </w:rPr>
      </w:pPr>
      <w:r w:rsidRPr="00033CA4">
        <w:rPr>
          <w:rFonts w:ascii="Arial" w:hAnsi="Arial" w:cs="Arial"/>
          <w:sz w:val="20"/>
          <w:szCs w:val="20"/>
          <w:highlight w:val="yellow"/>
        </w:rPr>
        <w:t>2. Nas relações jurídicas de trato sucessivo, quando não estiver sendo negado o próprio fundo de direito, pode o contratante, durante a vigência do contrato, a qualquer tempo, requerer a revisão de cláusula contratual que considere abusiva ou ilegal, seja com base em nulidade absoluta ou relativa. Porém, sua pretensão condenatória de repetição do indébito terá que se sujeitar à prescrição das parcelas vencidas no período anterior à data da propositura da ação, conforme o prazo prescricional aplicável.</w:t>
      </w:r>
    </w:p>
    <w:p w:rsidR="00726AF6" w:rsidRPr="00A84E17" w:rsidRDefault="00726AF6" w:rsidP="00726AF6">
      <w:pPr>
        <w:widowControl w:val="0"/>
        <w:jc w:val="both"/>
        <w:rPr>
          <w:rFonts w:ascii="Arial" w:hAnsi="Arial" w:cs="Arial"/>
          <w:sz w:val="20"/>
          <w:szCs w:val="20"/>
        </w:rPr>
      </w:pPr>
      <w:r w:rsidRPr="00033CA4">
        <w:rPr>
          <w:rFonts w:ascii="Arial" w:hAnsi="Arial" w:cs="Arial"/>
          <w:sz w:val="20"/>
          <w:szCs w:val="20"/>
          <w:highlight w:val="yellow"/>
        </w:rPr>
        <w:t>3. Cuidando-se de pretensão de nulidade de cláusula de reajuste prevista em contrato de plano ou seguro de assistência à saúde ainda vigente, com a consequente repetição do indébito, a ação ajuizada está fundada no enriquecimento sem causa e, por isso, o prazo prescricional é o trienal de que trata o art. 206, § 3º, IV, do Código Civil de 2002.</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 xml:space="preserve">4. É da invalidade, no todo ou em parte, do negócio jurídico, que nasce para o contratante lesado o direito de obter a restituição dos valores pagos a maior, porquanto o reconhecimento do caráter ilegal ou abusivo do contrato tem como consequência lógica a perda da causa que legitimava o pagamento efetuado. A partir daí </w:t>
      </w:r>
      <w:r w:rsidRPr="00A84E17">
        <w:rPr>
          <w:rFonts w:ascii="Arial" w:hAnsi="Arial" w:cs="Arial"/>
          <w:sz w:val="20"/>
          <w:szCs w:val="20"/>
        </w:rPr>
        <w:lastRenderedPageBreak/>
        <w:t>fica caracterizado o enriquecimento sem causa, derivado de pagamento indevido a gerar o direito à repetição do indébito (</w:t>
      </w:r>
      <w:proofErr w:type="spellStart"/>
      <w:r w:rsidRPr="00A84E17">
        <w:rPr>
          <w:rFonts w:ascii="Arial" w:hAnsi="Arial" w:cs="Arial"/>
          <w:sz w:val="20"/>
          <w:szCs w:val="20"/>
        </w:rPr>
        <w:t>arts</w:t>
      </w:r>
      <w:proofErr w:type="spellEnd"/>
      <w:r w:rsidRPr="00A84E17">
        <w:rPr>
          <w:rFonts w:ascii="Arial" w:hAnsi="Arial" w:cs="Arial"/>
          <w:sz w:val="20"/>
          <w:szCs w:val="20"/>
        </w:rPr>
        <w:t>. 182, 876 e 884 do Código Civil de 2002).</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5. A doutrina moderna aponta pelo menos três teorias para explicar o enriquecimento sem causa: a) a teoria unitária da deslocação patrimonial; b) a teoria da ilicitude; e c) a teoria da divisão do instituto. Nesta última, basicamente, reconhecidas as origens distintas das anteriores, a estruturação do instituto é apresentada de maneira mais bem elaborada, abarcando o termo causa de forma ampla, subdividido, porém, em categorias mais comuns (não exaustivas), a partir dos variados significados que o vocábulo poderia fornecer, tais como o enriquecimento por prestação, por intervenção, resultante de despesas efetuadas por outrem, por desconsideração de patrimônio ou por outras causas.</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6. No Brasil, antes mesmo do advento do Código Civil de 2002, em que há expressa previsão do instituto (</w:t>
      </w:r>
      <w:proofErr w:type="spellStart"/>
      <w:r w:rsidRPr="00A84E17">
        <w:rPr>
          <w:rFonts w:ascii="Arial" w:hAnsi="Arial" w:cs="Arial"/>
          <w:sz w:val="20"/>
          <w:szCs w:val="20"/>
        </w:rPr>
        <w:t>arts</w:t>
      </w:r>
      <w:proofErr w:type="spellEnd"/>
      <w:r w:rsidRPr="00A84E17">
        <w:rPr>
          <w:rFonts w:ascii="Arial" w:hAnsi="Arial" w:cs="Arial"/>
          <w:sz w:val="20"/>
          <w:szCs w:val="20"/>
        </w:rPr>
        <w:t>. 884 a 886), doutrina e jurisprudência já admitiam o enriquecimento sem causa como fonte de obrigação, diante da vedação do locupletamento ilícito.</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7. O art. 884 do Código Civil de 2002 adota a doutrina da divisão do instituto, admitindo, com isso, interpretação mais ampla a albergar o termo causa tanto no sentido de atribuição patrimonial (simples deslocamento patrimonial), como no sentido negocial (de origem contratual, por exemplo), cuja ausência, na modalidade de enriquecimento por prestação, demandaria um exame subjetivo, a partir da não obtenção da finalidade almejada com a prestação, hipótese que mais se adequada à prestação decorrente de cláusula indigitada nula (ausência de causa jurídica lícita).</w:t>
      </w:r>
    </w:p>
    <w:p w:rsidR="00726AF6" w:rsidRPr="00033CA4" w:rsidRDefault="00726AF6" w:rsidP="00726AF6">
      <w:pPr>
        <w:widowControl w:val="0"/>
        <w:jc w:val="both"/>
        <w:rPr>
          <w:rFonts w:ascii="Arial" w:hAnsi="Arial" w:cs="Arial"/>
          <w:sz w:val="20"/>
          <w:szCs w:val="20"/>
          <w:highlight w:val="yellow"/>
        </w:rPr>
      </w:pPr>
      <w:r w:rsidRPr="00033CA4">
        <w:rPr>
          <w:rFonts w:ascii="Arial" w:hAnsi="Arial" w:cs="Arial"/>
          <w:sz w:val="20"/>
          <w:szCs w:val="20"/>
          <w:highlight w:val="yellow"/>
        </w:rPr>
        <w:t xml:space="preserve">8. Tanto os atos unilaterais de vontade (promessa de recompensa, </w:t>
      </w:r>
      <w:proofErr w:type="spellStart"/>
      <w:r w:rsidRPr="00033CA4">
        <w:rPr>
          <w:rFonts w:ascii="Arial" w:hAnsi="Arial" w:cs="Arial"/>
          <w:sz w:val="20"/>
          <w:szCs w:val="20"/>
          <w:highlight w:val="yellow"/>
        </w:rPr>
        <w:t>arts</w:t>
      </w:r>
      <w:proofErr w:type="spellEnd"/>
      <w:r w:rsidRPr="00033CA4">
        <w:rPr>
          <w:rFonts w:ascii="Arial" w:hAnsi="Arial" w:cs="Arial"/>
          <w:sz w:val="20"/>
          <w:szCs w:val="20"/>
          <w:highlight w:val="yellow"/>
        </w:rPr>
        <w:t xml:space="preserve">. 854 e ss.; gestão de negócios, </w:t>
      </w:r>
      <w:proofErr w:type="spellStart"/>
      <w:r w:rsidRPr="00033CA4">
        <w:rPr>
          <w:rFonts w:ascii="Arial" w:hAnsi="Arial" w:cs="Arial"/>
          <w:sz w:val="20"/>
          <w:szCs w:val="20"/>
          <w:highlight w:val="yellow"/>
        </w:rPr>
        <w:t>arts</w:t>
      </w:r>
      <w:proofErr w:type="spellEnd"/>
      <w:r w:rsidRPr="00033CA4">
        <w:rPr>
          <w:rFonts w:ascii="Arial" w:hAnsi="Arial" w:cs="Arial"/>
          <w:sz w:val="20"/>
          <w:szCs w:val="20"/>
          <w:highlight w:val="yellow"/>
        </w:rPr>
        <w:t xml:space="preserve">. 861 e ss.; pagamento indevido, </w:t>
      </w:r>
      <w:proofErr w:type="spellStart"/>
      <w:r w:rsidRPr="00033CA4">
        <w:rPr>
          <w:rFonts w:ascii="Arial" w:hAnsi="Arial" w:cs="Arial"/>
          <w:sz w:val="20"/>
          <w:szCs w:val="20"/>
          <w:highlight w:val="yellow"/>
        </w:rPr>
        <w:t>arts</w:t>
      </w:r>
      <w:proofErr w:type="spellEnd"/>
      <w:r w:rsidRPr="00033CA4">
        <w:rPr>
          <w:rFonts w:ascii="Arial" w:hAnsi="Arial" w:cs="Arial"/>
          <w:sz w:val="20"/>
          <w:szCs w:val="20"/>
          <w:highlight w:val="yellow"/>
        </w:rPr>
        <w:t>. 876 e ss.; e o próprio enriquecimento sem causa, art. 884 e ss.) como os negociais, conforme o caso, comportam o ajuizamento de ação fundada no enriquecimento sem causa, cuja pretensão está abarcada pelo prazo prescricional trienal previsto no art. 206, § 3º, IV, do Código Civil de 2002.</w:t>
      </w:r>
    </w:p>
    <w:p w:rsidR="00726AF6" w:rsidRPr="00A84E17" w:rsidRDefault="00726AF6" w:rsidP="00726AF6">
      <w:pPr>
        <w:widowControl w:val="0"/>
        <w:jc w:val="both"/>
        <w:rPr>
          <w:rFonts w:ascii="Arial" w:hAnsi="Arial" w:cs="Arial"/>
          <w:sz w:val="20"/>
          <w:szCs w:val="20"/>
        </w:rPr>
      </w:pPr>
      <w:r w:rsidRPr="00033CA4">
        <w:rPr>
          <w:rFonts w:ascii="Arial" w:hAnsi="Arial" w:cs="Arial"/>
          <w:sz w:val="20"/>
          <w:szCs w:val="20"/>
          <w:highlight w:val="yellow"/>
        </w:rPr>
        <w:t>9. A pretensão de repetição do indébito somente se refere às prestações pagas a maior no período de três anos compreendidos no interregno anterior à data do ajuizamento da ação (art. 206, § 3º, IV, do CC/2002; art. 219, caput e § 1º, CPC/1973; art. 240, § 1º, do CPC/2015).</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10. Para os efeitos do julgamento do recurso especial repetitivo, fixa-se a seguinte tese: Na vigência dos contratos de plano ou de seguro de assistência à saúde, a pretensão condenatória decorrente da declaração de nulidade de cláusula de reajuste nele prevista prescreve em 20 anos (art. 177 do CC/1916) ou em 3 anos (art. 206, § 3º, IV, do CC/2002), observada a regra de transição do art. 2.028 do CC/2002.</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11. Caso concreto: Recurso especial interposto por Unimed Nordeste RS Sociedade Cooperativa de Serviços Médicos Ltda. a que se nega provimento.</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w:t>
      </w:r>
      <w:proofErr w:type="spellStart"/>
      <w:r w:rsidRPr="00A84E17">
        <w:rPr>
          <w:rFonts w:ascii="Arial" w:hAnsi="Arial" w:cs="Arial"/>
          <w:sz w:val="20"/>
          <w:szCs w:val="20"/>
        </w:rPr>
        <w:t>REsp</w:t>
      </w:r>
      <w:proofErr w:type="spellEnd"/>
      <w:r w:rsidRPr="00A84E17">
        <w:rPr>
          <w:rFonts w:ascii="Arial" w:hAnsi="Arial" w:cs="Arial"/>
          <w:sz w:val="20"/>
          <w:szCs w:val="20"/>
        </w:rPr>
        <w:t xml:space="preserve"> n. 1.361.182/RS, relator Ministro Marco </w:t>
      </w:r>
      <w:proofErr w:type="spellStart"/>
      <w:r w:rsidRPr="00A84E17">
        <w:rPr>
          <w:rFonts w:ascii="Arial" w:hAnsi="Arial" w:cs="Arial"/>
          <w:sz w:val="20"/>
          <w:szCs w:val="20"/>
        </w:rPr>
        <w:t>Buzzi</w:t>
      </w:r>
      <w:proofErr w:type="spellEnd"/>
      <w:r w:rsidRPr="00A84E17">
        <w:rPr>
          <w:rFonts w:ascii="Arial" w:hAnsi="Arial" w:cs="Arial"/>
          <w:sz w:val="20"/>
          <w:szCs w:val="20"/>
        </w:rPr>
        <w:t xml:space="preserve">, relator para acórdão Ministro Marco Aurélio </w:t>
      </w:r>
      <w:proofErr w:type="spellStart"/>
      <w:r w:rsidRPr="00A84E17">
        <w:rPr>
          <w:rFonts w:ascii="Arial" w:hAnsi="Arial" w:cs="Arial"/>
          <w:sz w:val="20"/>
          <w:szCs w:val="20"/>
        </w:rPr>
        <w:t>Bellizze</w:t>
      </w:r>
      <w:proofErr w:type="spellEnd"/>
      <w:r w:rsidRPr="00A84E17">
        <w:rPr>
          <w:rFonts w:ascii="Arial" w:hAnsi="Arial" w:cs="Arial"/>
          <w:sz w:val="20"/>
          <w:szCs w:val="20"/>
        </w:rPr>
        <w:t xml:space="preserve">, Segunda Seção, julgado em 10/8/2016, </w:t>
      </w:r>
      <w:proofErr w:type="spellStart"/>
      <w:r w:rsidRPr="00A84E17">
        <w:rPr>
          <w:rFonts w:ascii="Arial" w:hAnsi="Arial" w:cs="Arial"/>
          <w:sz w:val="20"/>
          <w:szCs w:val="20"/>
        </w:rPr>
        <w:t>DJe</w:t>
      </w:r>
      <w:proofErr w:type="spellEnd"/>
      <w:r w:rsidRPr="00A84E17">
        <w:rPr>
          <w:rFonts w:ascii="Arial" w:hAnsi="Arial" w:cs="Arial"/>
          <w:sz w:val="20"/>
          <w:szCs w:val="20"/>
        </w:rPr>
        <w:t xml:space="preserve"> de 19/9/2016.)</w:t>
      </w:r>
    </w:p>
    <w:p w:rsidR="00726AF6" w:rsidRPr="00A84E17" w:rsidRDefault="00726AF6" w:rsidP="00726AF6">
      <w:pPr>
        <w:widowControl w:val="0"/>
        <w:jc w:val="both"/>
        <w:rPr>
          <w:rFonts w:ascii="Arial" w:hAnsi="Arial" w:cs="Arial"/>
          <w:sz w:val="20"/>
          <w:szCs w:val="20"/>
        </w:rPr>
      </w:pPr>
    </w:p>
    <w:p w:rsidR="00033CA4" w:rsidRDefault="00033CA4" w:rsidP="00726AF6">
      <w:pPr>
        <w:widowControl w:val="0"/>
        <w:jc w:val="both"/>
        <w:rPr>
          <w:rFonts w:ascii="Arial" w:hAnsi="Arial" w:cs="Arial"/>
          <w:sz w:val="20"/>
          <w:szCs w:val="20"/>
        </w:rPr>
      </w:pPr>
    </w:p>
    <w:p w:rsidR="00033CA4" w:rsidRDefault="00033CA4" w:rsidP="00726AF6">
      <w:pPr>
        <w:widowControl w:val="0"/>
        <w:jc w:val="both"/>
        <w:rPr>
          <w:rFonts w:ascii="Arial" w:hAnsi="Arial" w:cs="Arial"/>
          <w:sz w:val="20"/>
          <w:szCs w:val="20"/>
        </w:rPr>
      </w:pP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RECURSO ESPECIAL. DIREITO DE FAMÍLIA. ALIMENTOS. INADIMPLEMENTO. GENITORA QUE ASSUME OS ENCARGOS QUE ERAM DE RESPONSABILIDADE DO PAI. CARACTERIZAÇÃO DA GESTÃO DE NEGÓCIOS. ART. 871 DO CC. SUB-ROGAÇÃO AFASTADA. REEMBOLSO DO CRÉDITO. NATUREZA PESSOAL. PRESCRIÇÃO. PRAZO GERAL DO ART. 205 DO CC.</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1. Segundo o art. 871 do CC, "quando alguém, na ausência do indivíduo obrigado a alimentos, por ele os prestar a quem se devem, poder-lhes-á reaver do devedor a importância, ainda que este não ratifique o ato".</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 xml:space="preserve">2. A razão de ser do instituto, notadamente por afastar eventual necessidade de concordância do devedor, é conferir a máxima proteção ao </w:t>
      </w:r>
      <w:proofErr w:type="spellStart"/>
      <w:r w:rsidRPr="00A84E17">
        <w:rPr>
          <w:rFonts w:ascii="Arial" w:hAnsi="Arial" w:cs="Arial"/>
          <w:sz w:val="20"/>
          <w:szCs w:val="20"/>
        </w:rPr>
        <w:t>alimentário</w:t>
      </w:r>
      <w:proofErr w:type="spellEnd"/>
      <w:r w:rsidRPr="00A84E17">
        <w:rPr>
          <w:rFonts w:ascii="Arial" w:hAnsi="Arial" w:cs="Arial"/>
          <w:sz w:val="20"/>
          <w:szCs w:val="20"/>
        </w:rPr>
        <w:t xml:space="preserve"> e, ao mesmo tempo, garantir àqueles que prestam socorro o direito de reembolso pelas despesas despendidas, evitando o enriquecimento sem causa do devedor de alimentos. Nessas situações, não há falar em sub-rogação, haja vista que o credor não pode ser considerado terceiro interessado, não podendo ser futuramente obrigado na quitação do débito.</w:t>
      </w:r>
    </w:p>
    <w:p w:rsidR="00726AF6" w:rsidRPr="00033CA4" w:rsidRDefault="00726AF6" w:rsidP="00726AF6">
      <w:pPr>
        <w:widowControl w:val="0"/>
        <w:jc w:val="both"/>
        <w:rPr>
          <w:rFonts w:ascii="Arial" w:hAnsi="Arial" w:cs="Arial"/>
          <w:sz w:val="20"/>
          <w:szCs w:val="20"/>
          <w:highlight w:val="yellow"/>
        </w:rPr>
      </w:pPr>
      <w:r w:rsidRPr="00033CA4">
        <w:rPr>
          <w:rFonts w:ascii="Arial" w:hAnsi="Arial" w:cs="Arial"/>
          <w:sz w:val="20"/>
          <w:szCs w:val="20"/>
          <w:highlight w:val="yellow"/>
        </w:rPr>
        <w:t>3. Na hipótese, a recorrente ajuizou ação de cobrança pleiteando o reembolso dos valores despendidos para o custeio de despesas de primeira necessidade de seus filhos - plano de saúde, despesas dentárias, mensalidades e materiais escolares -, que eram de inteira responsabilidade do pai, conforme sentença revisional de alimentos.</w:t>
      </w:r>
    </w:p>
    <w:p w:rsidR="00726AF6" w:rsidRPr="00033CA4" w:rsidRDefault="00726AF6" w:rsidP="00726AF6">
      <w:pPr>
        <w:widowControl w:val="0"/>
        <w:jc w:val="both"/>
        <w:rPr>
          <w:rFonts w:ascii="Arial" w:hAnsi="Arial" w:cs="Arial"/>
          <w:sz w:val="20"/>
          <w:szCs w:val="20"/>
          <w:highlight w:val="yellow"/>
        </w:rPr>
      </w:pPr>
      <w:r w:rsidRPr="00033CA4">
        <w:rPr>
          <w:rFonts w:ascii="Arial" w:hAnsi="Arial" w:cs="Arial"/>
          <w:sz w:val="20"/>
          <w:szCs w:val="20"/>
          <w:highlight w:val="yellow"/>
        </w:rPr>
        <w:t>Reconhecida a incidência da gestão de negócios, deve-se ter, com relação ao reembolso de valores, o tratamento conferido ao terceiro não interessado, notadamente por não haver sub-rogação, nos termos do art. 305 do CC.</w:t>
      </w:r>
    </w:p>
    <w:p w:rsidR="00726AF6" w:rsidRPr="00033CA4" w:rsidRDefault="00726AF6" w:rsidP="00726AF6">
      <w:pPr>
        <w:widowControl w:val="0"/>
        <w:jc w:val="both"/>
        <w:rPr>
          <w:rFonts w:ascii="Arial" w:hAnsi="Arial" w:cs="Arial"/>
          <w:sz w:val="20"/>
          <w:szCs w:val="20"/>
          <w:highlight w:val="yellow"/>
        </w:rPr>
      </w:pPr>
      <w:r w:rsidRPr="00033CA4">
        <w:rPr>
          <w:rFonts w:ascii="Arial" w:hAnsi="Arial" w:cs="Arial"/>
          <w:sz w:val="20"/>
          <w:szCs w:val="20"/>
          <w:highlight w:val="yellow"/>
        </w:rPr>
        <w:t>4. Assim, tendo-se em conta que a pretensão do terceiro ao reembolso de seu crédito tem natureza pessoal (não se situando no âmbito do direito de família), de que se trata de terceiro não interessado - gestor de negócios sui generis -, bem como afastados eventuais argumentos de exoneração do devedor que poderiam elidir a pretensão material originária, não se tem como reconhecer a prescrição no presente caso.</w:t>
      </w:r>
    </w:p>
    <w:p w:rsidR="00726AF6" w:rsidRPr="00A84E17" w:rsidRDefault="00726AF6" w:rsidP="00726AF6">
      <w:pPr>
        <w:widowControl w:val="0"/>
        <w:jc w:val="both"/>
        <w:rPr>
          <w:rFonts w:ascii="Arial" w:hAnsi="Arial" w:cs="Arial"/>
          <w:sz w:val="20"/>
          <w:szCs w:val="20"/>
        </w:rPr>
      </w:pPr>
      <w:r w:rsidRPr="00033CA4">
        <w:rPr>
          <w:rFonts w:ascii="Arial" w:hAnsi="Arial" w:cs="Arial"/>
          <w:sz w:val="20"/>
          <w:szCs w:val="20"/>
          <w:highlight w:val="yellow"/>
        </w:rPr>
        <w:t xml:space="preserve">5. Isso porque a prescrição a incidir na espécie não é a prevista no art. 206, § 2º, do Código Civil - 2 (dois) </w:t>
      </w:r>
      <w:r w:rsidRPr="00033CA4">
        <w:rPr>
          <w:rFonts w:ascii="Arial" w:hAnsi="Arial" w:cs="Arial"/>
          <w:sz w:val="20"/>
          <w:szCs w:val="20"/>
          <w:highlight w:val="yellow"/>
        </w:rPr>
        <w:lastRenderedPageBreak/>
        <w:t>anos para a pretensão de cobrança de prestações alimentares -, mas a regra geral prevista no caput do dispositivo, segundo a qual a prescriçã</w:t>
      </w:r>
      <w:r w:rsidRPr="00A84E17">
        <w:rPr>
          <w:rFonts w:ascii="Arial" w:hAnsi="Arial" w:cs="Arial"/>
          <w:sz w:val="20"/>
          <w:szCs w:val="20"/>
        </w:rPr>
        <w:t>o ocorre em 10 (dez) anos quando a lei não lhe haja fixado prazo menor.</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6. Recurso especial provido.</w:t>
      </w:r>
    </w:p>
    <w:p w:rsidR="00726AF6" w:rsidRPr="00A84E17" w:rsidRDefault="00726AF6" w:rsidP="00726AF6">
      <w:pPr>
        <w:widowControl w:val="0"/>
        <w:jc w:val="both"/>
        <w:rPr>
          <w:rFonts w:ascii="Arial" w:hAnsi="Arial" w:cs="Arial"/>
          <w:sz w:val="20"/>
          <w:szCs w:val="20"/>
        </w:rPr>
      </w:pPr>
      <w:r w:rsidRPr="00A84E17">
        <w:rPr>
          <w:rFonts w:ascii="Arial" w:hAnsi="Arial" w:cs="Arial"/>
          <w:sz w:val="20"/>
          <w:szCs w:val="20"/>
        </w:rPr>
        <w:t>(</w:t>
      </w:r>
      <w:proofErr w:type="spellStart"/>
      <w:r w:rsidRPr="00A84E17">
        <w:rPr>
          <w:rFonts w:ascii="Arial" w:hAnsi="Arial" w:cs="Arial"/>
          <w:sz w:val="20"/>
          <w:szCs w:val="20"/>
        </w:rPr>
        <w:t>REsp</w:t>
      </w:r>
      <w:proofErr w:type="spellEnd"/>
      <w:r w:rsidRPr="00A84E17">
        <w:rPr>
          <w:rFonts w:ascii="Arial" w:hAnsi="Arial" w:cs="Arial"/>
          <w:sz w:val="20"/>
          <w:szCs w:val="20"/>
        </w:rPr>
        <w:t xml:space="preserve"> n. 1.453.838/SP, relator Ministro Luis Felipe Salomão, Quarta Turma, julgado em 24/11/2015, </w:t>
      </w:r>
      <w:proofErr w:type="spellStart"/>
      <w:r w:rsidRPr="00A84E17">
        <w:rPr>
          <w:rFonts w:ascii="Arial" w:hAnsi="Arial" w:cs="Arial"/>
          <w:sz w:val="20"/>
          <w:szCs w:val="20"/>
        </w:rPr>
        <w:t>DJe</w:t>
      </w:r>
      <w:proofErr w:type="spellEnd"/>
      <w:r w:rsidRPr="00A84E17">
        <w:rPr>
          <w:rFonts w:ascii="Arial" w:hAnsi="Arial" w:cs="Arial"/>
          <w:sz w:val="20"/>
          <w:szCs w:val="20"/>
        </w:rPr>
        <w:t xml:space="preserve"> de 7/12/2015.)</w:t>
      </w:r>
    </w:p>
    <w:p w:rsidR="00726AF6" w:rsidRDefault="00726AF6" w:rsidP="00310404">
      <w:pPr>
        <w:widowControl w:val="0"/>
        <w:jc w:val="both"/>
      </w:pPr>
    </w:p>
    <w:p w:rsidR="009D7CA3" w:rsidRDefault="009D7CA3" w:rsidP="00310404">
      <w:pPr>
        <w:widowControl w:val="0"/>
        <w:jc w:val="both"/>
      </w:pPr>
    </w:p>
    <w:p w:rsidR="00061EB0" w:rsidRPr="00B86FA3" w:rsidRDefault="00061EB0" w:rsidP="00310404">
      <w:pPr>
        <w:widowControl w:val="0"/>
        <w:jc w:val="both"/>
        <w:rPr>
          <w:b/>
          <w:smallCaps/>
          <w:color w:val="4F6228" w:themeColor="accent3" w:themeShade="80"/>
          <w:u w:val="single"/>
        </w:rPr>
      </w:pPr>
      <w:r w:rsidRPr="00B86FA3">
        <w:rPr>
          <w:b/>
          <w:smallCaps/>
          <w:color w:val="4F6228" w:themeColor="accent3" w:themeShade="80"/>
          <w:u w:val="single"/>
        </w:rPr>
        <w:t>Teoria da Aparência</w:t>
      </w:r>
    </w:p>
    <w:p w:rsidR="00061EB0" w:rsidRDefault="00061EB0" w:rsidP="00310404">
      <w:pPr>
        <w:widowControl w:val="0"/>
        <w:jc w:val="both"/>
        <w:rPr>
          <w:b/>
          <w:smallCaps/>
          <w:u w:val="single"/>
        </w:rPr>
      </w:pPr>
    </w:p>
    <w:p w:rsidR="00061EB0" w:rsidRDefault="00D715CA" w:rsidP="00310404">
      <w:pPr>
        <w:widowControl w:val="0"/>
        <w:jc w:val="both"/>
      </w:pPr>
      <w:r>
        <w:t xml:space="preserve">- </w:t>
      </w:r>
      <w:r w:rsidRPr="00B86FA3">
        <w:rPr>
          <w:b/>
          <w:color w:val="365F91" w:themeColor="accent1" w:themeShade="BF"/>
        </w:rPr>
        <w:t>Fundamento</w:t>
      </w:r>
      <w:r>
        <w:t>: não é a oponibilidade entre vontade e declaração, mas sim a aparência do direito, ou seja, da validade de um negócio jurídico e do comportamento daqueles que se comportam como titulares do direito, frente a uma parte de boa-fé.</w:t>
      </w:r>
    </w:p>
    <w:p w:rsidR="00D715CA" w:rsidRDefault="00D715CA" w:rsidP="00310404">
      <w:pPr>
        <w:widowControl w:val="0"/>
        <w:jc w:val="both"/>
      </w:pPr>
    </w:p>
    <w:p w:rsidR="00D715CA" w:rsidRDefault="00D715CA" w:rsidP="00310404">
      <w:pPr>
        <w:widowControl w:val="0"/>
        <w:jc w:val="both"/>
      </w:pPr>
      <w:r>
        <w:t xml:space="preserve">- </w:t>
      </w:r>
      <w:r w:rsidRPr="00B86FA3">
        <w:rPr>
          <w:b/>
          <w:color w:val="365F91" w:themeColor="accent1" w:themeShade="BF"/>
        </w:rPr>
        <w:t>Conseqüência</w:t>
      </w:r>
      <w:r>
        <w:rPr>
          <w:b/>
        </w:rPr>
        <w:t xml:space="preserve">: </w:t>
      </w:r>
      <w:r>
        <w:t>apesar da vontade errônea de quem assim procede, o ordenamento, atendendo à conveniência de imprimir segurança e celeridade ao comércio jurídico e à necessidade de dispensar proteção aos direitos legítimos, reconhece como válidos os atos desse modo praticados e os efeitos jurídicos que lhes atribui.</w:t>
      </w:r>
    </w:p>
    <w:p w:rsidR="00011855" w:rsidRDefault="00011855" w:rsidP="00310404">
      <w:pPr>
        <w:widowControl w:val="0"/>
        <w:jc w:val="both"/>
      </w:pPr>
    </w:p>
    <w:p w:rsidR="00011855" w:rsidRPr="00B86FA3" w:rsidRDefault="00011855" w:rsidP="00310404">
      <w:pPr>
        <w:widowControl w:val="0"/>
        <w:jc w:val="both"/>
        <w:rPr>
          <w:b/>
          <w:color w:val="365F91" w:themeColor="accent1" w:themeShade="BF"/>
        </w:rPr>
      </w:pPr>
      <w:r w:rsidRPr="00B86FA3">
        <w:rPr>
          <w:color w:val="365F91" w:themeColor="accent1" w:themeShade="BF"/>
        </w:rPr>
        <w:t xml:space="preserve">- </w:t>
      </w:r>
      <w:r w:rsidRPr="00B86FA3">
        <w:rPr>
          <w:b/>
          <w:color w:val="365F91" w:themeColor="accent1" w:themeShade="BF"/>
        </w:rPr>
        <w:t>Justificativas teóricas:</w:t>
      </w:r>
    </w:p>
    <w:p w:rsidR="00011855" w:rsidRDefault="00011855" w:rsidP="00310404">
      <w:pPr>
        <w:widowControl w:val="0"/>
        <w:jc w:val="both"/>
        <w:rPr>
          <w:b/>
        </w:rPr>
      </w:pPr>
    </w:p>
    <w:p w:rsidR="00011855" w:rsidRDefault="00011855" w:rsidP="00310404">
      <w:pPr>
        <w:widowControl w:val="0"/>
        <w:jc w:val="both"/>
      </w:pPr>
      <w:r>
        <w:rPr>
          <w:b/>
        </w:rPr>
        <w:t xml:space="preserve">- </w:t>
      </w:r>
      <w:proofErr w:type="spellStart"/>
      <w:r w:rsidRPr="00B86FA3">
        <w:rPr>
          <w:color w:val="365F91" w:themeColor="accent1" w:themeShade="BF"/>
          <w:u w:val="single"/>
        </w:rPr>
        <w:t>Demolombe</w:t>
      </w:r>
      <w:proofErr w:type="spellEnd"/>
      <w:r>
        <w:t>: quem age como titular aparente representa o titular verdadeiro, ou, quando menos, gere os seus negócios.</w:t>
      </w:r>
    </w:p>
    <w:p w:rsidR="00011855" w:rsidRDefault="00011855" w:rsidP="00310404">
      <w:pPr>
        <w:widowControl w:val="0"/>
        <w:jc w:val="both"/>
      </w:pPr>
    </w:p>
    <w:p w:rsidR="00011855" w:rsidRDefault="00011855" w:rsidP="00310404">
      <w:pPr>
        <w:widowControl w:val="0"/>
        <w:jc w:val="both"/>
      </w:pPr>
      <w:r>
        <w:t xml:space="preserve">- </w:t>
      </w:r>
      <w:r w:rsidRPr="00B86FA3">
        <w:rPr>
          <w:color w:val="365F91" w:themeColor="accent1" w:themeShade="BF"/>
          <w:u w:val="single"/>
        </w:rPr>
        <w:t xml:space="preserve">J. C. </w:t>
      </w:r>
      <w:proofErr w:type="spellStart"/>
      <w:r w:rsidRPr="00B86FA3">
        <w:rPr>
          <w:color w:val="365F91" w:themeColor="accent1" w:themeShade="BF"/>
          <w:u w:val="single"/>
        </w:rPr>
        <w:t>Auloy</w:t>
      </w:r>
      <w:proofErr w:type="spellEnd"/>
      <w:r>
        <w:t xml:space="preserve">: baseia as </w:t>
      </w:r>
      <w:proofErr w:type="spellStart"/>
      <w:r>
        <w:t>conseqüências</w:t>
      </w:r>
      <w:proofErr w:type="spellEnd"/>
      <w:r>
        <w:t xml:space="preserve"> da aparência na idéia de responsabilidade: aquele que cria uma situação aparente enganadora constituiria culpa em conseqüência da qual quem a mesma situação houvesse criado deveria repará-la e a melhor reparação consistiria, precisamente, na eficácia plena da situação aparente.</w:t>
      </w:r>
    </w:p>
    <w:p w:rsidR="00011855" w:rsidRDefault="00011855" w:rsidP="00310404">
      <w:pPr>
        <w:widowControl w:val="0"/>
        <w:jc w:val="both"/>
      </w:pPr>
    </w:p>
    <w:p w:rsidR="00011855" w:rsidRDefault="00011855" w:rsidP="00310404">
      <w:pPr>
        <w:widowControl w:val="0"/>
        <w:jc w:val="both"/>
      </w:pPr>
      <w:r>
        <w:t xml:space="preserve">- </w:t>
      </w:r>
      <w:r w:rsidRPr="00B86FA3">
        <w:rPr>
          <w:color w:val="365F91" w:themeColor="accent1" w:themeShade="BF"/>
          <w:u w:val="single"/>
        </w:rPr>
        <w:t>Emmanuel Levy</w:t>
      </w:r>
      <w:r>
        <w:t xml:space="preserve">: a aparência se basearia na confiança legítima de cada qual na regularidade de seu direito e a cada qual incumbe a obrigação </w:t>
      </w:r>
      <w:r w:rsidR="00CE7E8D">
        <w:t>de não iludi-la, de sorte que se por sua atividade ou inatividade violar esta obrigação deverá suportar as conseqüências de sua atitude.</w:t>
      </w:r>
    </w:p>
    <w:p w:rsidR="00CE7E8D" w:rsidRDefault="00CE7E8D" w:rsidP="00310404">
      <w:pPr>
        <w:widowControl w:val="0"/>
        <w:jc w:val="both"/>
      </w:pPr>
    </w:p>
    <w:p w:rsidR="00B86FA3" w:rsidRDefault="00B86FA3" w:rsidP="00310404">
      <w:pPr>
        <w:widowControl w:val="0"/>
        <w:jc w:val="both"/>
        <w:rPr>
          <w:b/>
        </w:rPr>
      </w:pPr>
    </w:p>
    <w:p w:rsidR="00CE7E8D" w:rsidRPr="00B86FA3" w:rsidRDefault="00CE7E8D" w:rsidP="00310404">
      <w:pPr>
        <w:widowControl w:val="0"/>
        <w:jc w:val="both"/>
        <w:rPr>
          <w:b/>
          <w:color w:val="365F91" w:themeColor="accent1" w:themeShade="BF"/>
        </w:rPr>
      </w:pPr>
      <w:r w:rsidRPr="00B86FA3">
        <w:rPr>
          <w:b/>
          <w:color w:val="365F91" w:themeColor="accent1" w:themeShade="BF"/>
        </w:rPr>
        <w:t>Características:</w:t>
      </w:r>
    </w:p>
    <w:p w:rsidR="00CE7E8D" w:rsidRDefault="00CE7E8D" w:rsidP="00310404">
      <w:pPr>
        <w:widowControl w:val="0"/>
        <w:jc w:val="both"/>
        <w:rPr>
          <w:b/>
        </w:rPr>
      </w:pPr>
    </w:p>
    <w:p w:rsidR="00CE7E8D" w:rsidRDefault="00CE7E8D" w:rsidP="00310404">
      <w:pPr>
        <w:widowControl w:val="0"/>
        <w:jc w:val="both"/>
      </w:pPr>
      <w:r>
        <w:t>- O titular do direito aparente age como se verdadeiro titular fosse, isto é, por sua própria conta e sob sua própria responsabilidade; não age, pois, com a vontade de representar o verdadeiro titular, nem com a vontade de lhe gerir os negócios.</w:t>
      </w:r>
    </w:p>
    <w:p w:rsidR="00CE7E8D" w:rsidRDefault="00CE7E8D" w:rsidP="00310404">
      <w:pPr>
        <w:widowControl w:val="0"/>
        <w:jc w:val="both"/>
      </w:pPr>
    </w:p>
    <w:p w:rsidR="00CE7E8D" w:rsidRDefault="00CE7E8D" w:rsidP="00310404">
      <w:pPr>
        <w:widowControl w:val="0"/>
        <w:jc w:val="both"/>
        <w:rPr>
          <w:b/>
        </w:rPr>
      </w:pPr>
      <w:r>
        <w:t xml:space="preserve">- </w:t>
      </w:r>
      <w:r w:rsidRPr="00B86FA3">
        <w:rPr>
          <w:b/>
          <w:color w:val="365F91" w:themeColor="accent1" w:themeShade="BF"/>
        </w:rPr>
        <w:t>Requisitos</w:t>
      </w:r>
      <w:r>
        <w:rPr>
          <w:b/>
        </w:rPr>
        <w:t xml:space="preserve">: </w:t>
      </w:r>
    </w:p>
    <w:p w:rsidR="00CE7E8D" w:rsidRDefault="00CE7E8D" w:rsidP="00310404">
      <w:pPr>
        <w:widowControl w:val="0"/>
        <w:jc w:val="both"/>
        <w:rPr>
          <w:b/>
        </w:rPr>
      </w:pPr>
    </w:p>
    <w:p w:rsidR="00CE7E8D" w:rsidRDefault="00CE7E8D" w:rsidP="00310404">
      <w:pPr>
        <w:widowControl w:val="0"/>
        <w:jc w:val="both"/>
      </w:pPr>
      <w:r>
        <w:rPr>
          <w:b/>
        </w:rPr>
        <w:tab/>
        <w:t xml:space="preserve">- </w:t>
      </w:r>
      <w:r w:rsidRPr="00B86FA3">
        <w:rPr>
          <w:b/>
          <w:color w:val="943634" w:themeColor="accent2" w:themeShade="BF"/>
        </w:rPr>
        <w:t>Objetivos</w:t>
      </w:r>
      <w:r>
        <w:rPr>
          <w:b/>
        </w:rPr>
        <w:t xml:space="preserve">: </w:t>
      </w:r>
      <w:r>
        <w:t>a) situação de fato cercada de circunstâncias tais que manifestamente a apresentem como se fora uma segura situação de direito;</w:t>
      </w:r>
    </w:p>
    <w:p w:rsidR="00CE7E8D" w:rsidRDefault="00CE7E8D" w:rsidP="00310404">
      <w:pPr>
        <w:widowControl w:val="0"/>
        <w:jc w:val="both"/>
      </w:pPr>
    </w:p>
    <w:p w:rsidR="00CE7E8D" w:rsidRDefault="00CE7E8D" w:rsidP="00310404">
      <w:pPr>
        <w:widowControl w:val="0"/>
        <w:jc w:val="both"/>
      </w:pPr>
      <w:r>
        <w:tab/>
      </w:r>
      <w:r>
        <w:tab/>
      </w:r>
      <w:r>
        <w:tab/>
        <w:t>b) situação de fato que assim possa ser considerada segundo a ordem geral e normal das coisas;</w:t>
      </w:r>
    </w:p>
    <w:p w:rsidR="00CE7E8D" w:rsidRDefault="00CE7E8D" w:rsidP="00310404">
      <w:pPr>
        <w:widowControl w:val="0"/>
        <w:jc w:val="both"/>
      </w:pPr>
    </w:p>
    <w:p w:rsidR="00CE7E8D" w:rsidRDefault="00CE7E8D" w:rsidP="00310404">
      <w:pPr>
        <w:widowControl w:val="0"/>
        <w:jc w:val="both"/>
      </w:pPr>
      <w:r>
        <w:lastRenderedPageBreak/>
        <w:tab/>
      </w:r>
      <w:r>
        <w:tab/>
      </w:r>
      <w:r>
        <w:tab/>
        <w:t>c) apresente-se, nas condições acima, o titular aparente como se fosse titular legítimo, ou o direito como se realmente existisse.</w:t>
      </w:r>
    </w:p>
    <w:p w:rsidR="00CE7E8D" w:rsidRDefault="00CE7E8D" w:rsidP="00310404">
      <w:pPr>
        <w:widowControl w:val="0"/>
        <w:jc w:val="both"/>
      </w:pPr>
    </w:p>
    <w:p w:rsidR="00CE7E8D" w:rsidRDefault="00CE7E8D" w:rsidP="00310404">
      <w:pPr>
        <w:widowControl w:val="0"/>
        <w:jc w:val="both"/>
      </w:pPr>
    </w:p>
    <w:p w:rsidR="00CE7E8D" w:rsidRDefault="00CE7E8D" w:rsidP="00310404">
      <w:pPr>
        <w:widowControl w:val="0"/>
        <w:jc w:val="both"/>
      </w:pPr>
      <w:r>
        <w:tab/>
        <w:t xml:space="preserve">- </w:t>
      </w:r>
      <w:r w:rsidRPr="00B86FA3">
        <w:rPr>
          <w:b/>
          <w:color w:val="943634" w:themeColor="accent2" w:themeShade="BF"/>
        </w:rPr>
        <w:t>Subjetivos</w:t>
      </w:r>
      <w:r>
        <w:rPr>
          <w:b/>
        </w:rPr>
        <w:t xml:space="preserve">: </w:t>
      </w:r>
      <w:r>
        <w:t>a) incidência em erro de quem, de boa-fé, considera a mencionada situação de fato como situação de direito;</w:t>
      </w:r>
    </w:p>
    <w:p w:rsidR="00CE7E8D" w:rsidRDefault="00CE7E8D" w:rsidP="00310404">
      <w:pPr>
        <w:widowControl w:val="0"/>
        <w:jc w:val="both"/>
      </w:pPr>
    </w:p>
    <w:p w:rsidR="00CE7E8D" w:rsidRDefault="00CE7E8D" w:rsidP="00310404">
      <w:pPr>
        <w:widowControl w:val="0"/>
        <w:jc w:val="both"/>
      </w:pPr>
      <w:r>
        <w:tab/>
      </w:r>
      <w:r>
        <w:tab/>
      </w:r>
      <w:r>
        <w:tab/>
        <w:t xml:space="preserve">b) a </w:t>
      </w:r>
      <w:proofErr w:type="spellStart"/>
      <w:r>
        <w:t>escusabilidade</w:t>
      </w:r>
      <w:proofErr w:type="spellEnd"/>
      <w:r>
        <w:t xml:space="preserve"> do erro.</w:t>
      </w:r>
    </w:p>
    <w:p w:rsidR="00CE7E8D" w:rsidRDefault="00CE7E8D" w:rsidP="00310404">
      <w:pPr>
        <w:widowControl w:val="0"/>
        <w:jc w:val="both"/>
      </w:pPr>
    </w:p>
    <w:p w:rsidR="00CE7E8D" w:rsidRDefault="00CE7E8D" w:rsidP="00310404">
      <w:pPr>
        <w:widowControl w:val="0"/>
        <w:jc w:val="both"/>
      </w:pPr>
    </w:p>
    <w:p w:rsidR="00CE7E8D" w:rsidRDefault="00CE7E8D" w:rsidP="00310404">
      <w:pPr>
        <w:widowControl w:val="0"/>
        <w:jc w:val="both"/>
      </w:pPr>
      <w:r w:rsidRPr="00B86FA3">
        <w:rPr>
          <w:b/>
          <w:color w:val="943634" w:themeColor="accent2" w:themeShade="BF"/>
        </w:rPr>
        <w:t>Exemplos</w:t>
      </w:r>
      <w:r>
        <w:rPr>
          <w:b/>
        </w:rPr>
        <w:t xml:space="preserve">: </w:t>
      </w:r>
    </w:p>
    <w:p w:rsidR="00B86FA3" w:rsidRDefault="00B86FA3" w:rsidP="00310404">
      <w:pPr>
        <w:widowControl w:val="0"/>
        <w:jc w:val="both"/>
      </w:pPr>
    </w:p>
    <w:p w:rsidR="00B86FA3" w:rsidRDefault="00B86FA3" w:rsidP="00310404">
      <w:pPr>
        <w:widowControl w:val="0"/>
        <w:jc w:val="both"/>
      </w:pPr>
      <w:r>
        <w:t>- domicílio aparente;</w:t>
      </w:r>
    </w:p>
    <w:p w:rsidR="00B86FA3" w:rsidRDefault="00B86FA3" w:rsidP="00310404">
      <w:pPr>
        <w:widowControl w:val="0"/>
        <w:jc w:val="both"/>
      </w:pPr>
    </w:p>
    <w:p w:rsidR="00B86FA3" w:rsidRDefault="00B86FA3" w:rsidP="00310404">
      <w:pPr>
        <w:widowControl w:val="0"/>
        <w:jc w:val="both"/>
      </w:pPr>
      <w:r>
        <w:t>- posse de estado de casado ou de filho;</w:t>
      </w:r>
    </w:p>
    <w:p w:rsidR="00B86FA3" w:rsidRDefault="00B86FA3" w:rsidP="00310404">
      <w:pPr>
        <w:widowControl w:val="0"/>
        <w:jc w:val="both"/>
      </w:pPr>
    </w:p>
    <w:p w:rsidR="00B86FA3" w:rsidRDefault="00B86FA3" w:rsidP="00310404">
      <w:pPr>
        <w:widowControl w:val="0"/>
        <w:jc w:val="both"/>
      </w:pPr>
      <w:r>
        <w:t xml:space="preserve">- efeitos </w:t>
      </w:r>
      <w:r>
        <w:rPr>
          <w:i/>
        </w:rPr>
        <w:t xml:space="preserve">erga omnes </w:t>
      </w:r>
      <w:r>
        <w:t>dos registros civis de pessoas físicas ou jurídicas;</w:t>
      </w:r>
    </w:p>
    <w:p w:rsidR="00B86FA3" w:rsidRDefault="00B86FA3" w:rsidP="00310404">
      <w:pPr>
        <w:widowControl w:val="0"/>
        <w:jc w:val="both"/>
      </w:pPr>
    </w:p>
    <w:p w:rsidR="00B86FA3" w:rsidRDefault="00B86FA3" w:rsidP="00310404">
      <w:pPr>
        <w:widowControl w:val="0"/>
        <w:jc w:val="both"/>
      </w:pPr>
      <w:r>
        <w:t>- o pagamento feito a credor aparente;</w:t>
      </w:r>
    </w:p>
    <w:p w:rsidR="00B86FA3" w:rsidRDefault="00B86FA3" w:rsidP="00310404">
      <w:pPr>
        <w:widowControl w:val="0"/>
        <w:jc w:val="both"/>
      </w:pPr>
    </w:p>
    <w:p w:rsidR="00B86FA3" w:rsidRPr="00B86FA3" w:rsidRDefault="00B86FA3" w:rsidP="00310404">
      <w:pPr>
        <w:widowControl w:val="0"/>
        <w:jc w:val="both"/>
      </w:pPr>
      <w:r>
        <w:t>- o mandato aparente.</w:t>
      </w:r>
    </w:p>
    <w:sectPr w:rsidR="00B86FA3" w:rsidRPr="00B86FA3" w:rsidSect="00B23C85">
      <w:headerReference w:type="even" r:id="rId7"/>
      <w:headerReference w:type="default" r:id="rId8"/>
      <w:footerReference w:type="even" r:id="rId9"/>
      <w:footerReference w:type="default" r:id="rId10"/>
      <w:headerReference w:type="first" r:id="rId11"/>
      <w:footerReference w:type="first" r:id="rId12"/>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11" w:rsidRDefault="00A73B11" w:rsidP="0098242B">
      <w:r>
        <w:separator/>
      </w:r>
    </w:p>
  </w:endnote>
  <w:endnote w:type="continuationSeparator" w:id="0">
    <w:p w:rsidR="00A73B11" w:rsidRDefault="00A73B11" w:rsidP="0098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04" w:rsidRDefault="003104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04" w:rsidRDefault="0031040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04" w:rsidRDefault="003104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11" w:rsidRDefault="00A73B11" w:rsidP="0098242B">
      <w:r>
        <w:separator/>
      </w:r>
    </w:p>
  </w:footnote>
  <w:footnote w:type="continuationSeparator" w:id="0">
    <w:p w:rsidR="00A73B11" w:rsidRDefault="00A73B11" w:rsidP="00982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59" w:rsidRDefault="0098242B" w:rsidP="00866418">
    <w:pPr>
      <w:pStyle w:val="Cabealho"/>
      <w:framePr w:wrap="around" w:vAnchor="text" w:hAnchor="margin" w:xAlign="right" w:y="1"/>
      <w:rPr>
        <w:rStyle w:val="Nmerodepgina"/>
      </w:rPr>
    </w:pPr>
    <w:r>
      <w:rPr>
        <w:rStyle w:val="Nmerodepgina"/>
      </w:rPr>
      <w:fldChar w:fldCharType="begin"/>
    </w:r>
    <w:r w:rsidR="001B5A1A">
      <w:rPr>
        <w:rStyle w:val="Nmerodepgina"/>
      </w:rPr>
      <w:instrText xml:space="preserve">PAGE  </w:instrText>
    </w:r>
    <w:r>
      <w:rPr>
        <w:rStyle w:val="Nmerodepgina"/>
      </w:rPr>
      <w:fldChar w:fldCharType="end"/>
    </w:r>
  </w:p>
  <w:p w:rsidR="00687A59" w:rsidRDefault="00A73B11" w:rsidP="0086641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04" w:rsidRPr="003871C2" w:rsidRDefault="00310404" w:rsidP="003871C2">
    <w:pPr>
      <w:pStyle w:val="Cabealho"/>
      <w:jc w:val="center"/>
      <w:rPr>
        <w:rFonts w:ascii="Tempus Sans ITC" w:hAnsi="Tempus Sans ITC"/>
        <w:b/>
        <w:color w:val="215868" w:themeColor="accent5" w:themeShade="80"/>
        <w:sz w:val="28"/>
        <w:szCs w:val="28"/>
      </w:rPr>
    </w:pPr>
    <w:r w:rsidRPr="003871C2">
      <w:rPr>
        <w:rFonts w:ascii="Tempus Sans ITC" w:hAnsi="Tempus Sans ITC"/>
        <w:b/>
        <w:color w:val="215868" w:themeColor="accent5" w:themeShade="80"/>
        <w:sz w:val="28"/>
        <w:szCs w:val="28"/>
      </w:rPr>
      <w:t>Fernando Campos Scaff</w:t>
    </w:r>
  </w:p>
  <w:p w:rsidR="00310404" w:rsidRPr="003871C2" w:rsidRDefault="00310404" w:rsidP="003871C2">
    <w:pPr>
      <w:pStyle w:val="Cabealho"/>
      <w:jc w:val="center"/>
      <w:rPr>
        <w:rFonts w:ascii="Tempus Sans ITC" w:hAnsi="Tempus Sans ITC"/>
        <w:b/>
        <w:color w:val="215868" w:themeColor="accent5" w:themeShade="80"/>
        <w:sz w:val="20"/>
        <w:szCs w:val="20"/>
      </w:rPr>
    </w:pPr>
    <w:r w:rsidRPr="003871C2">
      <w:rPr>
        <w:rFonts w:ascii="Tempus Sans ITC" w:hAnsi="Tempus Sans ITC"/>
        <w:b/>
        <w:color w:val="215868" w:themeColor="accent5" w:themeShade="80"/>
        <w:sz w:val="20"/>
        <w:szCs w:val="20"/>
      </w:rPr>
      <w:t>Professor Titular da Faculdade de Direito da Universidade de São Paulo – Largo São Francisco</w:t>
    </w:r>
  </w:p>
  <w:p w:rsidR="00687A59" w:rsidRDefault="00A73B11" w:rsidP="00866418">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04" w:rsidRDefault="0031040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E4"/>
    <w:rsid w:val="00011855"/>
    <w:rsid w:val="000164DE"/>
    <w:rsid w:val="00033CA4"/>
    <w:rsid w:val="00061EB0"/>
    <w:rsid w:val="000E6523"/>
    <w:rsid w:val="001A5163"/>
    <w:rsid w:val="001B5A1A"/>
    <w:rsid w:val="001F0320"/>
    <w:rsid w:val="001F7F7A"/>
    <w:rsid w:val="0022089D"/>
    <w:rsid w:val="00222101"/>
    <w:rsid w:val="00227D62"/>
    <w:rsid w:val="00237AD2"/>
    <w:rsid w:val="00266DFF"/>
    <w:rsid w:val="002A75B7"/>
    <w:rsid w:val="002C47D5"/>
    <w:rsid w:val="002D0AA8"/>
    <w:rsid w:val="002F0F5C"/>
    <w:rsid w:val="00310404"/>
    <w:rsid w:val="00342385"/>
    <w:rsid w:val="00364CC6"/>
    <w:rsid w:val="003C016B"/>
    <w:rsid w:val="003C231C"/>
    <w:rsid w:val="003D4C3C"/>
    <w:rsid w:val="003E792B"/>
    <w:rsid w:val="00440552"/>
    <w:rsid w:val="00446C3A"/>
    <w:rsid w:val="0046589D"/>
    <w:rsid w:val="00484233"/>
    <w:rsid w:val="00485751"/>
    <w:rsid w:val="004976C4"/>
    <w:rsid w:val="004C57CB"/>
    <w:rsid w:val="004C64C0"/>
    <w:rsid w:val="005131CB"/>
    <w:rsid w:val="00526B8D"/>
    <w:rsid w:val="005324FD"/>
    <w:rsid w:val="00540BA0"/>
    <w:rsid w:val="005513CE"/>
    <w:rsid w:val="0055616D"/>
    <w:rsid w:val="006255B4"/>
    <w:rsid w:val="0064010B"/>
    <w:rsid w:val="00726AF6"/>
    <w:rsid w:val="00737FBC"/>
    <w:rsid w:val="00754B95"/>
    <w:rsid w:val="007B50E3"/>
    <w:rsid w:val="007C24F6"/>
    <w:rsid w:val="007D114A"/>
    <w:rsid w:val="007D4259"/>
    <w:rsid w:val="007E109B"/>
    <w:rsid w:val="007E65D3"/>
    <w:rsid w:val="007F5410"/>
    <w:rsid w:val="00811C20"/>
    <w:rsid w:val="008238BD"/>
    <w:rsid w:val="00861E7D"/>
    <w:rsid w:val="00872525"/>
    <w:rsid w:val="00931465"/>
    <w:rsid w:val="00976908"/>
    <w:rsid w:val="0098242B"/>
    <w:rsid w:val="009A4104"/>
    <w:rsid w:val="009A4C03"/>
    <w:rsid w:val="009B4E05"/>
    <w:rsid w:val="009C25F9"/>
    <w:rsid w:val="009D565F"/>
    <w:rsid w:val="009D7CA3"/>
    <w:rsid w:val="00A10DD6"/>
    <w:rsid w:val="00A414F7"/>
    <w:rsid w:val="00A52197"/>
    <w:rsid w:val="00A73B11"/>
    <w:rsid w:val="00A84E17"/>
    <w:rsid w:val="00A96A27"/>
    <w:rsid w:val="00AA0EC3"/>
    <w:rsid w:val="00AA6036"/>
    <w:rsid w:val="00AD28E9"/>
    <w:rsid w:val="00AE493E"/>
    <w:rsid w:val="00B23C85"/>
    <w:rsid w:val="00B86FA3"/>
    <w:rsid w:val="00B93472"/>
    <w:rsid w:val="00C12052"/>
    <w:rsid w:val="00C413FC"/>
    <w:rsid w:val="00CE7E8D"/>
    <w:rsid w:val="00CF7563"/>
    <w:rsid w:val="00D17E37"/>
    <w:rsid w:val="00D5457B"/>
    <w:rsid w:val="00D715CA"/>
    <w:rsid w:val="00D829F3"/>
    <w:rsid w:val="00DA01E4"/>
    <w:rsid w:val="00DC1BDE"/>
    <w:rsid w:val="00DC3EFB"/>
    <w:rsid w:val="00DD0244"/>
    <w:rsid w:val="00DF17E5"/>
    <w:rsid w:val="00DF6C17"/>
    <w:rsid w:val="00E64DA6"/>
    <w:rsid w:val="00EB3016"/>
    <w:rsid w:val="00FE40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3F461-70B5-45BE-9270-201C6D92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1E4"/>
    <w:pPr>
      <w:jc w:val="left"/>
    </w:pPr>
    <w:rPr>
      <w:rFonts w:eastAsia="Times New Roman"/>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A01E4"/>
    <w:pPr>
      <w:tabs>
        <w:tab w:val="center" w:pos="4419"/>
        <w:tab w:val="right" w:pos="8838"/>
      </w:tabs>
    </w:pPr>
  </w:style>
  <w:style w:type="character" w:customStyle="1" w:styleId="CabealhoChar">
    <w:name w:val="Cabeçalho Char"/>
    <w:basedOn w:val="Fontepargpadro"/>
    <w:link w:val="Cabealho"/>
    <w:rsid w:val="00DA01E4"/>
    <w:rPr>
      <w:rFonts w:eastAsia="Times New Roman"/>
      <w:sz w:val="26"/>
      <w:szCs w:val="26"/>
      <w:lang w:eastAsia="pt-BR"/>
    </w:rPr>
  </w:style>
  <w:style w:type="character" w:styleId="Nmerodepgina">
    <w:name w:val="page number"/>
    <w:basedOn w:val="Fontepargpadro"/>
    <w:rsid w:val="00DA01E4"/>
  </w:style>
  <w:style w:type="paragraph" w:styleId="Textodebalo">
    <w:name w:val="Balloon Text"/>
    <w:basedOn w:val="Normal"/>
    <w:link w:val="TextodebaloChar"/>
    <w:uiPriority w:val="99"/>
    <w:semiHidden/>
    <w:unhideWhenUsed/>
    <w:rsid w:val="00B23C85"/>
    <w:rPr>
      <w:rFonts w:ascii="Segoe UI" w:hAnsi="Segoe UI" w:cs="Segoe UI"/>
      <w:sz w:val="18"/>
      <w:szCs w:val="18"/>
    </w:rPr>
  </w:style>
  <w:style w:type="character" w:customStyle="1" w:styleId="TextodebaloChar">
    <w:name w:val="Texto de balão Char"/>
    <w:basedOn w:val="Fontepargpadro"/>
    <w:link w:val="Textodebalo"/>
    <w:uiPriority w:val="99"/>
    <w:semiHidden/>
    <w:rsid w:val="00B23C85"/>
    <w:rPr>
      <w:rFonts w:ascii="Segoe UI" w:eastAsia="Times New Roman" w:hAnsi="Segoe UI" w:cs="Segoe UI"/>
      <w:sz w:val="18"/>
      <w:szCs w:val="18"/>
      <w:lang w:eastAsia="pt-BR"/>
    </w:rPr>
  </w:style>
  <w:style w:type="paragraph" w:styleId="Rodap">
    <w:name w:val="footer"/>
    <w:basedOn w:val="Normal"/>
    <w:link w:val="RodapChar"/>
    <w:uiPriority w:val="99"/>
    <w:unhideWhenUsed/>
    <w:rsid w:val="00310404"/>
    <w:pPr>
      <w:tabs>
        <w:tab w:val="center" w:pos="4252"/>
        <w:tab w:val="right" w:pos="8504"/>
      </w:tabs>
    </w:pPr>
  </w:style>
  <w:style w:type="character" w:customStyle="1" w:styleId="RodapChar">
    <w:name w:val="Rodapé Char"/>
    <w:basedOn w:val="Fontepargpadro"/>
    <w:link w:val="Rodap"/>
    <w:uiPriority w:val="99"/>
    <w:rsid w:val="00310404"/>
    <w:rPr>
      <w:rFonts w:eastAsia="Times New Roman"/>
      <w:sz w:val="26"/>
      <w:szCs w:val="26"/>
      <w:lang w:eastAsia="pt-BR"/>
    </w:rPr>
  </w:style>
  <w:style w:type="character" w:styleId="Forte">
    <w:name w:val="Strong"/>
    <w:basedOn w:val="Fontepargpadro"/>
    <w:uiPriority w:val="22"/>
    <w:qFormat/>
    <w:rsid w:val="00033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51663">
      <w:bodyDiv w:val="1"/>
      <w:marLeft w:val="0"/>
      <w:marRight w:val="0"/>
      <w:marTop w:val="0"/>
      <w:marBottom w:val="0"/>
      <w:divBdr>
        <w:top w:val="none" w:sz="0" w:space="0" w:color="auto"/>
        <w:left w:val="none" w:sz="0" w:space="0" w:color="auto"/>
        <w:bottom w:val="none" w:sz="0" w:space="0" w:color="auto"/>
        <w:right w:val="none" w:sz="0" w:space="0" w:color="auto"/>
      </w:divBdr>
      <w:divsChild>
        <w:div w:id="568468758">
          <w:marLeft w:val="240"/>
          <w:marRight w:val="0"/>
          <w:marTop w:val="120"/>
          <w:marBottom w:val="0"/>
          <w:divBdr>
            <w:top w:val="none" w:sz="0" w:space="0" w:color="auto"/>
            <w:left w:val="none" w:sz="0" w:space="0" w:color="auto"/>
            <w:bottom w:val="none" w:sz="0" w:space="0" w:color="auto"/>
            <w:right w:val="none" w:sz="0" w:space="0" w:color="auto"/>
          </w:divBdr>
        </w:div>
        <w:div w:id="1652713281">
          <w:marLeft w:val="48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F773-A218-475E-8465-A3154D6A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4934</Words>
  <Characters>26649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9</cp:revision>
  <cp:lastPrinted>2015-03-16T17:09:00Z</cp:lastPrinted>
  <dcterms:created xsi:type="dcterms:W3CDTF">2023-03-13T17:01:00Z</dcterms:created>
  <dcterms:modified xsi:type="dcterms:W3CDTF">2023-03-20T14:36:00Z</dcterms:modified>
</cp:coreProperties>
</file>