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val="pt-BR"/>
        </w:rPr>
      </w:pPr>
      <w:r>
        <w:rPr>
          <w:b/>
          <w:sz w:val="28"/>
          <w:szCs w:val="28"/>
          <w:lang w:val="pt-BR"/>
        </w:rPr>
        <w:t>Introdução às medidas físicas (4300152)</w:t>
      </w:r>
    </w:p>
    <w:p>
      <w:pPr>
        <w:jc w:val="center"/>
        <w:rPr>
          <w:b/>
          <w:sz w:val="28"/>
          <w:szCs w:val="28"/>
          <w:lang w:val="pt-BR"/>
        </w:rPr>
      </w:pPr>
      <w:r>
        <w:rPr>
          <w:b/>
          <w:sz w:val="28"/>
          <w:szCs w:val="28"/>
          <w:lang w:val="pt-BR"/>
        </w:rPr>
        <w:t>Aula 3– Densidade de sólidos</w:t>
      </w:r>
    </w:p>
    <w:p>
      <w:pPr>
        <w:jc w:val="center"/>
        <w:rPr>
          <w:b/>
          <w:sz w:val="28"/>
          <w:szCs w:val="28"/>
          <w:lang w:val="pt-BR"/>
        </w:rPr>
      </w:pPr>
    </w:p>
    <w:p>
      <w:pPr>
        <w:rPr>
          <w:sz w:val="28"/>
          <w:szCs w:val="28"/>
          <w:lang w:val="pt-BR"/>
        </w:rPr>
      </w:pPr>
      <w:r>
        <mc:AlternateContent>
          <mc:Choice Requires="wps">
            <w:drawing>
              <wp:anchor distT="45720" distB="45720" distL="114300" distR="114300" simplePos="0" relativeHeight="251659264" behindDoc="0" locked="0" layoutInCell="1" allowOverlap="1">
                <wp:simplePos x="0" y="0"/>
                <wp:positionH relativeFrom="column">
                  <wp:posOffset>4548505</wp:posOffset>
                </wp:positionH>
                <wp:positionV relativeFrom="paragraph">
                  <wp:posOffset>181610</wp:posOffset>
                </wp:positionV>
                <wp:extent cx="1677035" cy="1314450"/>
                <wp:effectExtent l="8890" t="9525" r="9525" b="9525"/>
                <wp:wrapSquare wrapText="bothSides"/>
                <wp:docPr id="3"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1677035" cy="1314450"/>
                        </a:xfrm>
                        <a:prstGeom prst="rect">
                          <a:avLst/>
                        </a:prstGeom>
                        <a:solidFill>
                          <a:srgbClr val="FFFFFF"/>
                        </a:solidFill>
                        <a:ln w="9525">
                          <a:solidFill>
                            <a:srgbClr val="000000"/>
                          </a:solidFill>
                          <a:miter lim="800000"/>
                        </a:ln>
                      </wps:spPr>
                      <wps:txbx>
                        <w:txbxContent>
                          <w:p>
                            <w:pPr>
                              <w:rPr>
                                <w:sz w:val="24"/>
                                <w:lang w:val="pt-BR"/>
                              </w:rPr>
                            </w:pPr>
                            <w:r>
                              <w:rPr>
                                <w:sz w:val="24"/>
                                <w:lang w:val="pt-BR"/>
                              </w:rPr>
                              <w:t>Escreva aqui o Número da caixa com os cilindros plásticos que seu grupo recebeu.</w:t>
                            </w:r>
                          </w:p>
                        </w:txbxContent>
                      </wps:txbx>
                      <wps:bodyPr rot="0" vert="horz" wrap="square" lIns="91440" tIns="45720" rIns="91440" bIns="45720" anchor="t" anchorCtr="0" upright="1">
                        <a:noAutofit/>
                      </wps:bodyPr>
                    </wps:wsp>
                  </a:graphicData>
                </a:graphic>
              </wp:anchor>
            </w:drawing>
          </mc:Choice>
          <mc:Fallback>
            <w:pict>
              <v:shape id="Caixa de Texto 2" o:spid="_x0000_s1026" o:spt="202" type="#_x0000_t202" style="position:absolute;left:0pt;margin-left:358.15pt;margin-top:14.3pt;height:103.5pt;width:132.05pt;mso-wrap-distance-bottom:3.6pt;mso-wrap-distance-left:9pt;mso-wrap-distance-right:9pt;mso-wrap-distance-top:3.6pt;z-index:251659264;mso-width-relative:page;mso-height-relative:page;" fillcolor="#FFFFFF" filled="t" stroked="t" coordsize="21600,21600" o:gfxdata="UEsDBAoAAAAAAIdO4kAAAAAAAAAAAAAAAAAEAAAAZHJzL1BLAwQUAAAACACHTuJAM92mwNoAAAAK&#10;AQAADwAAAGRycy9kb3ducmV2LnhtbE2PwU7DMAyG70i8Q2QkLoglXUfWlaY7IIHgBgNt16zJ2orG&#10;KUnWjbfHnOBo+9Pv76/WZzewyYbYe1SQzQQwi403PbYKPt4fbwtgMWk0evBoFXzbCOv68qLSpfEn&#10;fLPTJrWMQjCWWkGX0lhyHpvOOh1nfrRIt4MPTicaQ8tN0CcKdwOfCyG50z3Sh06P9qGzzefm6BQU&#10;i+dpF1/y120jD8Mq3Synp6+g1PVVJu6BJXtOfzD86pM61OS090c0kQ0KlpnMCVUwLyQwAlaFWADb&#10;0yK/k8Driv+vUP8AUEsDBBQAAAAIAIdO4kDfxIlJNQIAAI0EAAAOAAAAZHJzL2Uyb0RvYy54bWyt&#10;VNtu2zAMfR+wfxD0vjjXXow4RZcgw4DuArT7AEaWY2GSqElK7O7rR8lpF3Qb0IfpQSBN6pA8JL28&#10;6Y1mR+mDQlvxyWjMmbQCa2X3Ff/2sH13xVmIYGvQaGXFH2XgN6u3b5adK+UUW9S19IxAbCg7V/E2&#10;RlcWRRCtNBBG6KQlY4PeQCTV74vaQ0foRhfT8fii6NDXzqOQIdDXzWDkJ0T/GkBsGiXkBsXBSBsH&#10;VC81RCoptMoFvsrZNo0U8UvTBBmZrjhVGvNNQUjepbtYLaHce3CtEqcU4DUpvKjJgLIU9BlqAxHY&#10;was/oIwSHgM2cSTQFEMhmRGqYjJ+wc19C07mWojq4J5JD/8PVnw+fvVM1RWfcWbBUMPXoHpgtWQP&#10;so/IpomjzoWSXO8dOcf+PfY0Obne4O5QfA/M4roFu5e33mPXSqgpx0l6WZw9HXBCAtl1n7CmYHCI&#10;mIH6xptEIFHCCJ368/jcH8qDiRTy4vJyPFtwJsg2mU3m80XuYAHl03PnQ/wg0bAkVNzTAGR4ON6F&#10;mNKB8sklRQuoVb1VWmfF73dr7dkRaFi2+eQKXrhpy7qKXy+mi4GBf0KM8/kbhFGRdkgrU/Grcydt&#10;T4Qljga2Yr/rTw3YYf1I1Hkcpph2mIQW/U/OOprgiocfB/CSM/3REv3XxE8a+azMF5dTUvy5ZXdu&#10;ASsIquKRs0Fcx2FNDs6rfUuRhoZbvKWWNSqTmXo7ZHXKm6Y0c3zaqLQG53r2+v0XW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92mwNoAAAAKAQAADwAAAAAAAAABACAAAAAiAAAAZHJzL2Rvd25y&#10;ZXYueG1sUEsBAhQAFAAAAAgAh07iQN/EiUk1AgAAjQQAAA4AAAAAAAAAAQAgAAAAKQEAAGRycy9l&#10;Mm9Eb2MueG1sUEsFBgAAAAAGAAYAWQEAANAFAAAAAA==&#10;">
                <v:fill on="t" focussize="0,0"/>
                <v:stroke color="#000000" miterlimit="8" joinstyle="miter"/>
                <v:imagedata o:title=""/>
                <o:lock v:ext="edit" aspectratio="f"/>
                <v:textbox>
                  <w:txbxContent>
                    <w:p>
                      <w:pPr>
                        <w:rPr>
                          <w:sz w:val="24"/>
                          <w:lang w:val="pt-BR"/>
                        </w:rPr>
                      </w:pPr>
                      <w:r>
                        <w:rPr>
                          <w:sz w:val="24"/>
                          <w:lang w:val="pt-BR"/>
                        </w:rPr>
                        <w:t>Escreva aqui o Número da caixa com os cilindros plásticos que seu grupo recebeu.</w:t>
                      </w:r>
                    </w:p>
                  </w:txbxContent>
                </v:textbox>
                <w10:wrap type="square"/>
              </v:shape>
            </w:pict>
          </mc:Fallback>
        </mc:AlternateContent>
      </w:r>
      <w:r>
        <w:rPr>
          <w:sz w:val="28"/>
          <w:szCs w:val="28"/>
          <w:lang w:val="pt-BR"/>
        </w:rPr>
        <w:t xml:space="preserve">Grupo:              </w:t>
      </w:r>
    </w:p>
    <w:p>
      <w:pPr>
        <w:rPr>
          <w:sz w:val="28"/>
          <w:szCs w:val="28"/>
          <w:lang w:val="pt-BR"/>
        </w:rPr>
      </w:pPr>
      <w:r>
        <w:rPr>
          <w:sz w:val="28"/>
          <w:szCs w:val="28"/>
          <w:lang w:val="pt-BR"/>
        </w:rPr>
        <w:t xml:space="preserve">Aluno 1:                             </w:t>
      </w:r>
    </w:p>
    <w:p>
      <w:pPr>
        <w:rPr>
          <w:sz w:val="28"/>
          <w:szCs w:val="28"/>
          <w:lang w:val="pt-BR"/>
        </w:rPr>
      </w:pPr>
      <w:r>
        <w:rPr>
          <w:sz w:val="28"/>
          <w:szCs w:val="28"/>
          <w:lang w:val="pt-BR"/>
        </w:rPr>
        <w:t xml:space="preserve">Aluno 2:                             </w:t>
      </w:r>
    </w:p>
    <w:p>
      <w:pPr>
        <w:rPr>
          <w:sz w:val="28"/>
          <w:szCs w:val="28"/>
          <w:lang w:val="pt-BR"/>
        </w:rPr>
      </w:pPr>
      <w:r>
        <w:rPr>
          <w:sz w:val="28"/>
          <w:szCs w:val="28"/>
          <w:lang w:val="pt-BR"/>
        </w:rPr>
        <w:t>Aluno 3:</w:t>
      </w:r>
    </w:p>
    <w:p>
      <w:pPr>
        <w:jc w:val="both"/>
        <w:rPr>
          <w:sz w:val="28"/>
          <w:szCs w:val="28"/>
          <w:lang w:val="pt-BR"/>
        </w:rPr>
      </w:pPr>
    </w:p>
    <w:p>
      <w:pPr>
        <w:jc w:val="both"/>
        <w:rPr>
          <w:b/>
          <w:sz w:val="28"/>
          <w:szCs w:val="28"/>
          <w:lang w:val="pt-BR"/>
        </w:rPr>
      </w:pPr>
      <w:r>
        <w:rPr>
          <w:b/>
          <w:sz w:val="28"/>
          <w:szCs w:val="28"/>
          <w:lang w:val="pt-BR"/>
        </w:rPr>
        <w:t xml:space="preserve">Medidas Experimentais: </w:t>
      </w:r>
    </w:p>
    <w:p>
      <w:pPr>
        <w:jc w:val="both"/>
        <w:rPr>
          <w:sz w:val="28"/>
          <w:szCs w:val="28"/>
          <w:lang w:val="pt-BR"/>
        </w:rPr>
      </w:pPr>
    </w:p>
    <w:p>
      <w:pPr>
        <w:jc w:val="both"/>
        <w:rPr>
          <w:sz w:val="28"/>
          <w:szCs w:val="28"/>
          <w:lang w:val="pt-BR"/>
        </w:rPr>
      </w:pPr>
    </w:p>
    <w:p>
      <w:pPr>
        <w:jc w:val="both"/>
        <w:rPr>
          <w:sz w:val="28"/>
          <w:szCs w:val="28"/>
          <w:lang w:val="pt-BR"/>
        </w:rPr>
      </w:pPr>
      <w:r>
        <w:rPr>
          <w:sz w:val="28"/>
          <w:szCs w:val="28"/>
          <w:lang w:val="pt-BR"/>
        </w:rPr>
        <w:t>Indique os equipamentos usados para medir tanto as dimensões das peças de plástico como suas massas, indicando as respectivas incertezas instrumentais.</w:t>
      </w:r>
    </w:p>
    <w:p>
      <w:pPr>
        <w:jc w:val="both"/>
        <w:rPr>
          <w:sz w:val="28"/>
          <w:szCs w:val="28"/>
          <w:lang w:val="pt-BR"/>
        </w:rPr>
      </w:pPr>
      <w:r>
        <w:rPr>
          <w:sz w:val="28"/>
          <w:szCs w:val="28"/>
          <w:lang w:val="pt-BR"/>
        </w:rPr>
        <w:t>Dimensão:</w:t>
      </w:r>
    </w:p>
    <w:p>
      <w:pPr>
        <w:jc w:val="both"/>
        <w:rPr>
          <w:sz w:val="28"/>
          <w:szCs w:val="28"/>
          <w:lang w:val="pt-BR"/>
        </w:rPr>
      </w:pPr>
    </w:p>
    <w:p>
      <w:pPr>
        <w:jc w:val="both"/>
        <w:rPr>
          <w:sz w:val="28"/>
          <w:szCs w:val="28"/>
          <w:lang w:val="pt-BR"/>
        </w:rPr>
      </w:pPr>
      <w:r>
        <w:rPr>
          <w:sz w:val="28"/>
          <w:szCs w:val="28"/>
          <w:lang w:val="pt-BR"/>
        </w:rPr>
        <w:t>Massa:</w:t>
      </w:r>
    </w:p>
    <w:p>
      <w:pPr>
        <w:jc w:val="both"/>
        <w:rPr>
          <w:sz w:val="28"/>
          <w:szCs w:val="28"/>
          <w:lang w:val="pt-BR"/>
        </w:rPr>
      </w:pPr>
    </w:p>
    <w:p>
      <w:pPr>
        <w:jc w:val="both"/>
        <w:rPr>
          <w:sz w:val="28"/>
          <w:szCs w:val="28"/>
          <w:lang w:val="pt-BR"/>
        </w:rPr>
      </w:pPr>
    </w:p>
    <w:p>
      <w:pPr>
        <w:jc w:val="both"/>
        <w:rPr>
          <w:sz w:val="28"/>
          <w:szCs w:val="28"/>
          <w:lang w:val="pt-BR"/>
        </w:rPr>
      </w:pPr>
      <w:r>
        <w:rPr>
          <w:sz w:val="28"/>
          <w:szCs w:val="28"/>
          <w:lang w:val="pt-BR"/>
        </w:rPr>
        <w:t>A tabela 1 apresenta os dados obtidos pelos membros do grupo para os parâmetros dos cilindros, medidos com a régua e com a balança digital.</w:t>
      </w:r>
    </w:p>
    <w:p>
      <w:pPr>
        <w:jc w:val="both"/>
        <w:rPr>
          <w:sz w:val="28"/>
          <w:szCs w:val="28"/>
          <w:lang w:val="pt-BR"/>
        </w:rPr>
      </w:pPr>
    </w:p>
    <w:p>
      <w:pPr>
        <w:jc w:val="center"/>
        <w:rPr>
          <w:sz w:val="28"/>
          <w:szCs w:val="28"/>
          <w:lang w:val="pt-BR"/>
        </w:rPr>
      </w:pPr>
      <w:r>
        <w:rPr>
          <w:sz w:val="28"/>
          <w:szCs w:val="28"/>
          <w:lang w:val="pt-BR"/>
        </w:rPr>
        <w:t>Tabela 1: Medidas para dimensões e massas dos cilindros (Situação 1)</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2796"/>
        <w:gridCol w:w="313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Peça</w:t>
            </w:r>
          </w:p>
        </w:tc>
        <w:tc>
          <w:tcPr>
            <w:tcW w:w="2796" w:type="dxa"/>
          </w:tcPr>
          <w:p>
            <w:pPr>
              <w:jc w:val="center"/>
              <w:rPr>
                <w:sz w:val="28"/>
                <w:szCs w:val="28"/>
                <w:lang w:val="pt-BR"/>
              </w:rPr>
            </w:pPr>
            <w:r>
              <w:rPr>
                <w:sz w:val="28"/>
                <w:szCs w:val="28"/>
                <w:lang w:val="pt-BR"/>
              </w:rPr>
              <w:t xml:space="preserve">Diâmetro ± </w:t>
            </w:r>
            <w:r>
              <w:rPr>
                <w:rFonts w:ascii="Calibri" w:hAnsi="Calibri" w:cs="Calibri"/>
                <w:sz w:val="28"/>
                <w:szCs w:val="28"/>
                <w:lang w:val="pt-BR"/>
              </w:rPr>
              <w:t>σ</w:t>
            </w:r>
            <w:r>
              <w:rPr>
                <w:sz w:val="28"/>
                <w:szCs w:val="28"/>
                <w:vertAlign w:val="subscript"/>
                <w:lang w:val="pt-BR"/>
              </w:rPr>
              <w:t>D</w:t>
            </w:r>
            <w:r>
              <w:rPr>
                <w:sz w:val="28"/>
                <w:szCs w:val="28"/>
                <w:lang w:val="pt-BR"/>
              </w:rPr>
              <w:t xml:space="preserve"> (cm)</w:t>
            </w:r>
          </w:p>
        </w:tc>
        <w:tc>
          <w:tcPr>
            <w:tcW w:w="3138" w:type="dxa"/>
          </w:tcPr>
          <w:p>
            <w:pPr>
              <w:jc w:val="center"/>
              <w:rPr>
                <w:sz w:val="28"/>
                <w:szCs w:val="28"/>
                <w:lang w:val="pt-BR"/>
              </w:rPr>
            </w:pPr>
            <w:r>
              <w:rPr>
                <w:sz w:val="28"/>
                <w:szCs w:val="28"/>
                <w:lang w:val="pt-BR"/>
              </w:rPr>
              <w:t xml:space="preserve">Altura H ± </w:t>
            </w:r>
            <w:r>
              <w:rPr>
                <w:rFonts w:ascii="Calibri" w:hAnsi="Calibri" w:cs="Calibri"/>
                <w:sz w:val="28"/>
                <w:szCs w:val="28"/>
                <w:lang w:val="pt-BR"/>
              </w:rPr>
              <w:t>σ</w:t>
            </w:r>
            <w:r>
              <w:rPr>
                <w:sz w:val="28"/>
                <w:szCs w:val="28"/>
                <w:vertAlign w:val="subscript"/>
                <w:lang w:val="pt-BR"/>
              </w:rPr>
              <w:t>H</w:t>
            </w:r>
            <w:r>
              <w:rPr>
                <w:sz w:val="28"/>
                <w:szCs w:val="28"/>
                <w:lang w:val="pt-BR"/>
              </w:rPr>
              <w:t xml:space="preserve"> (cm)</w:t>
            </w:r>
          </w:p>
        </w:tc>
        <w:tc>
          <w:tcPr>
            <w:tcW w:w="1984" w:type="dxa"/>
          </w:tcPr>
          <w:p>
            <w:pPr>
              <w:jc w:val="center"/>
              <w:rPr>
                <w:sz w:val="28"/>
                <w:szCs w:val="28"/>
                <w:lang w:val="pt-BR"/>
              </w:rPr>
            </w:pPr>
            <w:r>
              <w:rPr>
                <w:sz w:val="28"/>
                <w:szCs w:val="28"/>
                <w:lang w:val="pt-BR"/>
              </w:rPr>
              <w:t xml:space="preserve">Massa ± </w:t>
            </w:r>
            <w:r>
              <w:rPr>
                <w:rFonts w:ascii="Calibri" w:hAnsi="Calibri" w:cs="Calibri"/>
                <w:sz w:val="28"/>
                <w:szCs w:val="28"/>
                <w:lang w:val="pt-BR"/>
              </w:rPr>
              <w:t>σ</w:t>
            </w:r>
            <w:r>
              <w:rPr>
                <w:sz w:val="28"/>
                <w:szCs w:val="28"/>
                <w:vertAlign w:val="subscript"/>
                <w:lang w:val="pt-BR"/>
              </w:rPr>
              <w:t>m</w:t>
            </w:r>
            <w:r>
              <w:rPr>
                <w:sz w:val="28"/>
                <w:szCs w:val="28"/>
                <w:lang w:val="pt-BR"/>
              </w:rPr>
              <w:t xml:space="preserve">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1</w:t>
            </w:r>
          </w:p>
        </w:tc>
        <w:tc>
          <w:tcPr>
            <w:tcW w:w="2796" w:type="dxa"/>
          </w:tcPr>
          <w:p>
            <w:pPr>
              <w:jc w:val="center"/>
              <w:rPr>
                <w:sz w:val="28"/>
                <w:szCs w:val="28"/>
                <w:lang w:val="pt-BR"/>
              </w:rPr>
            </w:pPr>
          </w:p>
        </w:tc>
        <w:tc>
          <w:tcPr>
            <w:tcW w:w="3138" w:type="dxa"/>
          </w:tcPr>
          <w:p>
            <w:pPr>
              <w:jc w:val="center"/>
              <w:rPr>
                <w:sz w:val="28"/>
                <w:szCs w:val="28"/>
                <w:lang w:val="pt-BR"/>
              </w:rPr>
            </w:pPr>
          </w:p>
        </w:tc>
        <w:tc>
          <w:tcPr>
            <w:tcW w:w="1984"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2</w:t>
            </w:r>
          </w:p>
        </w:tc>
        <w:tc>
          <w:tcPr>
            <w:tcW w:w="2796" w:type="dxa"/>
          </w:tcPr>
          <w:p>
            <w:pPr>
              <w:jc w:val="center"/>
              <w:rPr>
                <w:sz w:val="28"/>
                <w:szCs w:val="28"/>
                <w:lang w:val="pt-BR"/>
              </w:rPr>
            </w:pPr>
          </w:p>
        </w:tc>
        <w:tc>
          <w:tcPr>
            <w:tcW w:w="3138" w:type="dxa"/>
          </w:tcPr>
          <w:p>
            <w:pPr>
              <w:jc w:val="center"/>
              <w:rPr>
                <w:sz w:val="28"/>
                <w:szCs w:val="28"/>
                <w:lang w:val="pt-BR"/>
              </w:rPr>
            </w:pPr>
          </w:p>
        </w:tc>
        <w:tc>
          <w:tcPr>
            <w:tcW w:w="1984"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3</w:t>
            </w:r>
          </w:p>
        </w:tc>
        <w:tc>
          <w:tcPr>
            <w:tcW w:w="2796" w:type="dxa"/>
          </w:tcPr>
          <w:p>
            <w:pPr>
              <w:jc w:val="center"/>
              <w:rPr>
                <w:sz w:val="28"/>
                <w:szCs w:val="28"/>
                <w:lang w:val="pt-BR"/>
              </w:rPr>
            </w:pPr>
          </w:p>
        </w:tc>
        <w:tc>
          <w:tcPr>
            <w:tcW w:w="3138" w:type="dxa"/>
          </w:tcPr>
          <w:p>
            <w:pPr>
              <w:jc w:val="center"/>
              <w:rPr>
                <w:sz w:val="28"/>
                <w:szCs w:val="28"/>
                <w:lang w:val="pt-BR"/>
              </w:rPr>
            </w:pPr>
          </w:p>
        </w:tc>
        <w:tc>
          <w:tcPr>
            <w:tcW w:w="1984"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4</w:t>
            </w:r>
          </w:p>
        </w:tc>
        <w:tc>
          <w:tcPr>
            <w:tcW w:w="2796" w:type="dxa"/>
          </w:tcPr>
          <w:p>
            <w:pPr>
              <w:jc w:val="center"/>
              <w:rPr>
                <w:sz w:val="28"/>
                <w:szCs w:val="28"/>
                <w:lang w:val="pt-BR"/>
              </w:rPr>
            </w:pPr>
          </w:p>
        </w:tc>
        <w:tc>
          <w:tcPr>
            <w:tcW w:w="3138" w:type="dxa"/>
          </w:tcPr>
          <w:p>
            <w:pPr>
              <w:jc w:val="center"/>
              <w:rPr>
                <w:sz w:val="28"/>
                <w:szCs w:val="28"/>
                <w:lang w:val="pt-BR"/>
              </w:rPr>
            </w:pPr>
          </w:p>
        </w:tc>
        <w:tc>
          <w:tcPr>
            <w:tcW w:w="1984"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5</w:t>
            </w:r>
          </w:p>
        </w:tc>
        <w:tc>
          <w:tcPr>
            <w:tcW w:w="2796" w:type="dxa"/>
          </w:tcPr>
          <w:p>
            <w:pPr>
              <w:jc w:val="center"/>
              <w:rPr>
                <w:sz w:val="28"/>
                <w:szCs w:val="28"/>
                <w:lang w:val="pt-BR"/>
              </w:rPr>
            </w:pPr>
          </w:p>
        </w:tc>
        <w:tc>
          <w:tcPr>
            <w:tcW w:w="3138" w:type="dxa"/>
          </w:tcPr>
          <w:p>
            <w:pPr>
              <w:jc w:val="center"/>
              <w:rPr>
                <w:sz w:val="28"/>
                <w:szCs w:val="28"/>
                <w:lang w:val="pt-BR"/>
              </w:rPr>
            </w:pPr>
          </w:p>
        </w:tc>
        <w:tc>
          <w:tcPr>
            <w:tcW w:w="1984" w:type="dxa"/>
          </w:tcPr>
          <w:p>
            <w:pPr>
              <w:jc w:val="center"/>
              <w:rPr>
                <w:sz w:val="28"/>
                <w:szCs w:val="28"/>
                <w:lang w:val="pt-BR"/>
              </w:rPr>
            </w:pPr>
          </w:p>
        </w:tc>
      </w:tr>
    </w:tbl>
    <w:p>
      <w:pPr>
        <w:jc w:val="both"/>
        <w:rPr>
          <w:sz w:val="28"/>
          <w:szCs w:val="28"/>
          <w:lang w:val="pt-BR"/>
        </w:rPr>
      </w:pPr>
    </w:p>
    <w:p>
      <w:pPr>
        <w:jc w:val="both"/>
        <w:rPr>
          <w:sz w:val="28"/>
          <w:szCs w:val="28"/>
          <w:lang w:val="pt-BR"/>
        </w:rPr>
      </w:pPr>
      <w:r>
        <w:rPr>
          <w:sz w:val="28"/>
          <w:szCs w:val="28"/>
          <w:lang w:val="pt-BR"/>
        </w:rPr>
        <w:t>Para verificar a influência da incerteza instrumental da balança digital no resultado resolveu-se medir os valores de massa usando um equipamento mais preciso. Qual a incerteza da balança analítica usada?</w:t>
      </w:r>
    </w:p>
    <w:p>
      <w:pPr>
        <w:jc w:val="both"/>
        <w:rPr>
          <w:sz w:val="28"/>
          <w:szCs w:val="28"/>
          <w:lang w:val="pt-BR"/>
        </w:rPr>
      </w:pPr>
    </w:p>
    <w:p>
      <w:pPr>
        <w:jc w:val="center"/>
        <w:rPr>
          <w:sz w:val="28"/>
          <w:szCs w:val="28"/>
          <w:lang w:val="pt-BR"/>
        </w:rPr>
      </w:pPr>
      <w:r>
        <w:rPr>
          <w:sz w:val="28"/>
          <w:szCs w:val="28"/>
          <w:lang w:val="pt-BR"/>
        </w:rPr>
        <w:t>Tabela 2: Medida da massa dos cilindros com balança analítica (Situação 2)</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Peça</w:t>
            </w:r>
          </w:p>
        </w:tc>
        <w:tc>
          <w:tcPr>
            <w:tcW w:w="3451" w:type="dxa"/>
          </w:tcPr>
          <w:p>
            <w:pPr>
              <w:jc w:val="center"/>
              <w:rPr>
                <w:sz w:val="28"/>
                <w:szCs w:val="28"/>
                <w:lang w:val="pt-BR"/>
              </w:rPr>
            </w:pPr>
            <w:r>
              <w:rPr>
                <w:sz w:val="28"/>
                <w:szCs w:val="28"/>
                <w:lang w:val="pt-BR"/>
              </w:rPr>
              <w:t xml:space="preserve">Massa ± </w:t>
            </w:r>
            <w:r>
              <w:rPr>
                <w:rFonts w:ascii="Calibri" w:hAnsi="Calibri" w:cs="Calibri"/>
                <w:sz w:val="28"/>
                <w:szCs w:val="28"/>
                <w:lang w:val="pt-BR"/>
              </w:rPr>
              <w:t>σ</w:t>
            </w:r>
            <w:r>
              <w:rPr>
                <w:sz w:val="28"/>
                <w:szCs w:val="28"/>
                <w:vertAlign w:val="subscript"/>
                <w:lang w:val="pt-BR"/>
              </w:rPr>
              <w:t>m</w:t>
            </w:r>
            <w:r>
              <w:rPr>
                <w:sz w:val="28"/>
                <w:szCs w:val="28"/>
                <w:lang w:val="pt-BR"/>
              </w:rPr>
              <w:t xml:space="preserve">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1</w:t>
            </w:r>
          </w:p>
        </w:tc>
        <w:tc>
          <w:tcPr>
            <w:tcW w:w="3451"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2</w:t>
            </w:r>
          </w:p>
        </w:tc>
        <w:tc>
          <w:tcPr>
            <w:tcW w:w="3451"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3</w:t>
            </w:r>
          </w:p>
        </w:tc>
        <w:tc>
          <w:tcPr>
            <w:tcW w:w="3451"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4</w:t>
            </w:r>
          </w:p>
        </w:tc>
        <w:tc>
          <w:tcPr>
            <w:tcW w:w="3451"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5</w:t>
            </w:r>
          </w:p>
        </w:tc>
        <w:tc>
          <w:tcPr>
            <w:tcW w:w="3451" w:type="dxa"/>
          </w:tcPr>
          <w:p>
            <w:pPr>
              <w:jc w:val="center"/>
              <w:rPr>
                <w:sz w:val="28"/>
                <w:szCs w:val="28"/>
                <w:lang w:val="pt-BR"/>
              </w:rPr>
            </w:pPr>
          </w:p>
        </w:tc>
      </w:tr>
    </w:tbl>
    <w:p>
      <w:pPr>
        <w:jc w:val="both"/>
        <w:rPr>
          <w:b/>
          <w:sz w:val="28"/>
          <w:szCs w:val="28"/>
          <w:lang w:val="pt-BR"/>
        </w:rPr>
      </w:pPr>
    </w:p>
    <w:p>
      <w:pPr>
        <w:jc w:val="both"/>
        <w:rPr>
          <w:b/>
          <w:sz w:val="28"/>
          <w:szCs w:val="28"/>
          <w:lang w:val="pt-BR"/>
        </w:rPr>
      </w:pPr>
    </w:p>
    <w:p>
      <w:pPr>
        <w:jc w:val="both"/>
        <w:rPr>
          <w:b/>
          <w:sz w:val="28"/>
          <w:szCs w:val="28"/>
          <w:lang w:val="pt-BR"/>
        </w:rPr>
      </w:pPr>
      <w:r>
        <w:rPr>
          <w:b/>
          <w:sz w:val="28"/>
          <w:szCs w:val="28"/>
          <w:lang w:val="pt-BR"/>
        </w:rPr>
        <w:t>Análise de dados</w:t>
      </w:r>
    </w:p>
    <w:p>
      <w:pPr>
        <w:jc w:val="both"/>
        <w:rPr>
          <w:sz w:val="28"/>
          <w:szCs w:val="28"/>
          <w:lang w:val="pt-BR"/>
        </w:rPr>
      </w:pPr>
    </w:p>
    <w:p>
      <w:pPr>
        <w:jc w:val="both"/>
        <w:rPr>
          <w:sz w:val="28"/>
          <w:szCs w:val="28"/>
          <w:lang w:val="pt-BR"/>
        </w:rPr>
      </w:pPr>
      <w:r>
        <w:rPr>
          <w:sz w:val="28"/>
          <w:szCs w:val="28"/>
          <w:lang w:val="pt-BR"/>
        </w:rPr>
        <w:t>Calcule o volume das peças cilíndricas investigadas pelo seu grupo. Calcule a incerteza do volume assumindo metade da diferença dos valores máximos e mínimos.  Escreva os valores finais dos volumes com a</w:t>
      </w:r>
      <w:r>
        <w:rPr>
          <w:rFonts w:hint="default"/>
          <w:sz w:val="28"/>
          <w:szCs w:val="28"/>
          <w:lang w:val="pt-BR"/>
        </w:rPr>
        <w:t>s</w:t>
      </w:r>
      <w:r>
        <w:rPr>
          <w:sz w:val="28"/>
          <w:szCs w:val="28"/>
          <w:lang w:val="pt-BR"/>
        </w:rPr>
        <w:t xml:space="preserve"> suas</w:t>
      </w:r>
      <w:r>
        <w:rPr>
          <w:rFonts w:hint="default"/>
          <w:sz w:val="28"/>
          <w:szCs w:val="28"/>
          <w:lang w:val="pt-BR"/>
        </w:rPr>
        <w:t xml:space="preserve"> </w:t>
      </w:r>
      <w:r>
        <w:rPr>
          <w:sz w:val="28"/>
          <w:szCs w:val="28"/>
          <w:lang w:val="pt-BR"/>
        </w:rPr>
        <w:t xml:space="preserve">respectivas incertezas na tabela 3 com o número adequado de algarismos significativos. </w:t>
      </w:r>
    </w:p>
    <w:p>
      <w:pPr>
        <w:jc w:val="both"/>
        <w:rPr>
          <w:sz w:val="28"/>
          <w:szCs w:val="28"/>
          <w:lang w:val="pt-BR"/>
        </w:rPr>
      </w:pPr>
    </w:p>
    <w:p>
      <w:pPr>
        <w:jc w:val="center"/>
        <w:rPr>
          <w:sz w:val="28"/>
          <w:szCs w:val="28"/>
          <w:lang w:val="pt-BR"/>
        </w:rPr>
      </w:pPr>
      <w:r>
        <w:rPr>
          <w:sz w:val="28"/>
          <w:szCs w:val="28"/>
          <w:lang w:val="pt-BR"/>
        </w:rPr>
        <w:t xml:space="preserve">Tabela 3: Cálculo dos volumes e respectivas incertezas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933"/>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Peça</w:t>
            </w:r>
          </w:p>
        </w:tc>
        <w:tc>
          <w:tcPr>
            <w:tcW w:w="1933" w:type="dxa"/>
          </w:tcPr>
          <w:p>
            <w:pPr>
              <w:jc w:val="center"/>
              <w:rPr>
                <w:sz w:val="28"/>
                <w:szCs w:val="28"/>
                <w:lang w:val="pt-BR"/>
              </w:rPr>
            </w:pPr>
            <w:r>
              <w:rPr>
                <w:sz w:val="28"/>
                <w:szCs w:val="28"/>
                <w:lang w:val="pt-BR"/>
              </w:rPr>
              <w:t>Volume (cm</w:t>
            </w:r>
            <w:r>
              <w:rPr>
                <w:sz w:val="28"/>
                <w:szCs w:val="28"/>
                <w:vertAlign w:val="superscript"/>
                <w:lang w:val="pt-BR"/>
              </w:rPr>
              <w:t>3</w:t>
            </w:r>
            <w:r>
              <w:rPr>
                <w:sz w:val="28"/>
                <w:szCs w:val="28"/>
                <w:lang w:val="pt-BR"/>
              </w:rPr>
              <w:t>)</w:t>
            </w:r>
          </w:p>
        </w:tc>
        <w:tc>
          <w:tcPr>
            <w:tcW w:w="2536" w:type="dxa"/>
          </w:tcPr>
          <w:p>
            <w:pPr>
              <w:jc w:val="center"/>
              <w:rPr>
                <w:sz w:val="28"/>
                <w:szCs w:val="28"/>
                <w:lang w:val="pt-BR"/>
              </w:rPr>
            </w:pPr>
            <w:r>
              <w:rPr>
                <w:sz w:val="28"/>
                <w:szCs w:val="28"/>
                <w:lang w:val="pt-BR"/>
              </w:rPr>
              <w:t xml:space="preserve">Volume ± </w:t>
            </w:r>
            <w:r>
              <w:rPr>
                <w:rFonts w:ascii="Calibri" w:hAnsi="Calibri" w:cs="Calibri"/>
                <w:sz w:val="28"/>
                <w:szCs w:val="28"/>
                <w:lang w:val="pt-BR"/>
              </w:rPr>
              <w:t>σ</w:t>
            </w:r>
            <w:r>
              <w:rPr>
                <w:sz w:val="28"/>
                <w:szCs w:val="28"/>
                <w:vertAlign w:val="subscript"/>
                <w:lang w:val="pt-BR"/>
              </w:rPr>
              <w:t>V</w:t>
            </w:r>
            <w:r>
              <w:rPr>
                <w:sz w:val="28"/>
                <w:szCs w:val="28"/>
                <w:lang w:val="pt-BR"/>
              </w:rPr>
              <w:t xml:space="preserve"> (cm</w:t>
            </w:r>
            <w:r>
              <w:rPr>
                <w:sz w:val="28"/>
                <w:szCs w:val="28"/>
                <w:vertAlign w:val="superscript"/>
                <w:lang w:val="pt-BR"/>
              </w:rPr>
              <w:t>3</w:t>
            </w:r>
            <w:r>
              <w:rPr>
                <w:sz w:val="28"/>
                <w:szCs w:val="28"/>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1</w:t>
            </w:r>
          </w:p>
        </w:tc>
        <w:tc>
          <w:tcPr>
            <w:tcW w:w="1933" w:type="dxa"/>
          </w:tcPr>
          <w:p>
            <w:pPr>
              <w:jc w:val="center"/>
              <w:rPr>
                <w:sz w:val="28"/>
                <w:szCs w:val="28"/>
                <w:lang w:val="pt-BR"/>
              </w:rPr>
            </w:pPr>
          </w:p>
        </w:tc>
        <w:tc>
          <w:tcPr>
            <w:tcW w:w="2536"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2</w:t>
            </w:r>
          </w:p>
        </w:tc>
        <w:tc>
          <w:tcPr>
            <w:tcW w:w="1933" w:type="dxa"/>
          </w:tcPr>
          <w:p>
            <w:pPr>
              <w:jc w:val="center"/>
              <w:rPr>
                <w:sz w:val="28"/>
                <w:szCs w:val="28"/>
                <w:lang w:val="pt-BR"/>
              </w:rPr>
            </w:pPr>
          </w:p>
        </w:tc>
        <w:tc>
          <w:tcPr>
            <w:tcW w:w="2536"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3</w:t>
            </w:r>
          </w:p>
        </w:tc>
        <w:tc>
          <w:tcPr>
            <w:tcW w:w="1933" w:type="dxa"/>
          </w:tcPr>
          <w:p>
            <w:pPr>
              <w:jc w:val="center"/>
              <w:rPr>
                <w:sz w:val="28"/>
                <w:szCs w:val="28"/>
                <w:lang w:val="pt-BR"/>
              </w:rPr>
            </w:pPr>
          </w:p>
        </w:tc>
        <w:tc>
          <w:tcPr>
            <w:tcW w:w="2536"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4</w:t>
            </w:r>
          </w:p>
        </w:tc>
        <w:tc>
          <w:tcPr>
            <w:tcW w:w="1933" w:type="dxa"/>
          </w:tcPr>
          <w:p>
            <w:pPr>
              <w:jc w:val="center"/>
              <w:rPr>
                <w:sz w:val="28"/>
                <w:szCs w:val="28"/>
                <w:lang w:val="pt-BR"/>
              </w:rPr>
            </w:pPr>
          </w:p>
        </w:tc>
        <w:tc>
          <w:tcPr>
            <w:tcW w:w="2536"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5</w:t>
            </w:r>
          </w:p>
        </w:tc>
        <w:tc>
          <w:tcPr>
            <w:tcW w:w="1933" w:type="dxa"/>
          </w:tcPr>
          <w:p>
            <w:pPr>
              <w:jc w:val="center"/>
              <w:rPr>
                <w:sz w:val="28"/>
                <w:szCs w:val="28"/>
                <w:lang w:val="pt-BR"/>
              </w:rPr>
            </w:pPr>
          </w:p>
        </w:tc>
        <w:tc>
          <w:tcPr>
            <w:tcW w:w="2536" w:type="dxa"/>
          </w:tcPr>
          <w:p>
            <w:pPr>
              <w:jc w:val="center"/>
              <w:rPr>
                <w:sz w:val="28"/>
                <w:szCs w:val="28"/>
                <w:lang w:val="pt-BR"/>
              </w:rPr>
            </w:pPr>
          </w:p>
        </w:tc>
      </w:tr>
    </w:tbl>
    <w:p>
      <w:pPr>
        <w:jc w:val="both"/>
        <w:rPr>
          <w:sz w:val="28"/>
          <w:szCs w:val="28"/>
          <w:lang w:val="pt-BR"/>
        </w:rPr>
      </w:pPr>
    </w:p>
    <w:p>
      <w:pPr>
        <w:jc w:val="both"/>
        <w:rPr>
          <w:sz w:val="28"/>
          <w:szCs w:val="28"/>
          <w:lang w:val="pt-BR"/>
        </w:rPr>
      </w:pPr>
      <w:r>
        <w:rPr>
          <w:sz w:val="28"/>
          <w:szCs w:val="28"/>
          <w:lang w:val="pt-BR"/>
        </w:rPr>
        <w:t>Calcule o valor da densidade, usando os valores de volume da tabela 3 e as medidas de massa obtidas com a balança digital. Escreva os valores finais com incerteza, usando procedimento análogo ao cálculo da incerteza no volume.</w:t>
      </w:r>
    </w:p>
    <w:p>
      <w:pPr>
        <w:jc w:val="both"/>
        <w:rPr>
          <w:sz w:val="28"/>
          <w:szCs w:val="28"/>
          <w:lang w:val="pt-BR"/>
        </w:rPr>
      </w:pPr>
    </w:p>
    <w:p>
      <w:pPr>
        <w:jc w:val="center"/>
        <w:rPr>
          <w:sz w:val="28"/>
          <w:szCs w:val="28"/>
          <w:lang w:val="pt-BR"/>
        </w:rPr>
      </w:pPr>
      <w:r>
        <w:rPr>
          <w:sz w:val="28"/>
          <w:szCs w:val="28"/>
          <w:lang w:val="pt-BR"/>
        </w:rPr>
        <w:t>Tabela 4: Cálculo das densidades e respectivas incertezas com massa obtida com balança digital</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Peça</w:t>
            </w:r>
          </w:p>
        </w:tc>
        <w:tc>
          <w:tcPr>
            <w:tcW w:w="2933" w:type="dxa"/>
          </w:tcPr>
          <w:p>
            <w:pPr>
              <w:jc w:val="center"/>
              <w:rPr>
                <w:sz w:val="28"/>
                <w:szCs w:val="28"/>
                <w:lang w:val="pt-BR"/>
              </w:rPr>
            </w:pPr>
            <w:r>
              <w:rPr>
                <w:sz w:val="28"/>
                <w:szCs w:val="28"/>
                <w:lang w:val="pt-BR"/>
              </w:rPr>
              <w:t xml:space="preserve">Densidade ± </w:t>
            </w:r>
            <w:r>
              <w:rPr>
                <w:rFonts w:ascii="Calibri" w:hAnsi="Calibri" w:cs="Calibri"/>
                <w:sz w:val="28"/>
                <w:szCs w:val="28"/>
                <w:lang w:val="pt-BR"/>
              </w:rPr>
              <w:t>σ</w:t>
            </w:r>
            <w:r>
              <w:rPr>
                <w:sz w:val="28"/>
                <w:szCs w:val="28"/>
                <w:vertAlign w:val="subscript"/>
                <w:lang w:val="pt-BR"/>
              </w:rPr>
              <w:t>d</w:t>
            </w:r>
            <w:r>
              <w:rPr>
                <w:sz w:val="28"/>
                <w:szCs w:val="28"/>
                <w:lang w:val="pt-BR"/>
              </w:rPr>
              <w:t xml:space="preserve"> (g/cm</w:t>
            </w:r>
            <w:r>
              <w:rPr>
                <w:sz w:val="28"/>
                <w:szCs w:val="28"/>
                <w:vertAlign w:val="superscript"/>
                <w:lang w:val="pt-BR"/>
              </w:rPr>
              <w:t>3</w:t>
            </w:r>
            <w:r>
              <w:rPr>
                <w:sz w:val="28"/>
                <w:szCs w:val="28"/>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1</w:t>
            </w:r>
          </w:p>
        </w:tc>
        <w:tc>
          <w:tcPr>
            <w:tcW w:w="2933"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2</w:t>
            </w:r>
          </w:p>
        </w:tc>
        <w:tc>
          <w:tcPr>
            <w:tcW w:w="2933"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3</w:t>
            </w:r>
          </w:p>
        </w:tc>
        <w:tc>
          <w:tcPr>
            <w:tcW w:w="2933"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4</w:t>
            </w:r>
          </w:p>
        </w:tc>
        <w:tc>
          <w:tcPr>
            <w:tcW w:w="2933" w:type="dxa"/>
          </w:tcPr>
          <w:p>
            <w:pPr>
              <w:jc w:val="center"/>
              <w:rPr>
                <w:sz w:val="28"/>
                <w:szCs w:val="2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sz w:val="28"/>
                <w:szCs w:val="28"/>
                <w:lang w:val="pt-BR"/>
              </w:rPr>
            </w:pPr>
            <w:r>
              <w:rPr>
                <w:sz w:val="28"/>
                <w:szCs w:val="28"/>
                <w:lang w:val="pt-BR"/>
              </w:rPr>
              <w:t>5</w:t>
            </w:r>
          </w:p>
        </w:tc>
        <w:tc>
          <w:tcPr>
            <w:tcW w:w="2933" w:type="dxa"/>
          </w:tcPr>
          <w:p>
            <w:pPr>
              <w:jc w:val="center"/>
              <w:rPr>
                <w:sz w:val="28"/>
                <w:szCs w:val="28"/>
                <w:lang w:val="pt-BR"/>
              </w:rPr>
            </w:pPr>
          </w:p>
        </w:tc>
      </w:tr>
    </w:tbl>
    <w:p>
      <w:pPr>
        <w:jc w:val="both"/>
        <w:rPr>
          <w:sz w:val="28"/>
          <w:szCs w:val="28"/>
          <w:lang w:val="pt-BR"/>
        </w:rPr>
      </w:pPr>
    </w:p>
    <w:p>
      <w:pPr>
        <w:jc w:val="both"/>
        <w:rPr>
          <w:sz w:val="28"/>
          <w:szCs w:val="28"/>
          <w:lang w:val="pt-BR"/>
        </w:rPr>
      </w:pPr>
    </w:p>
    <w:p>
      <w:pPr>
        <w:jc w:val="both"/>
        <w:rPr>
          <w:sz w:val="28"/>
          <w:szCs w:val="28"/>
          <w:lang w:val="pt-BR"/>
        </w:rPr>
      </w:pPr>
      <w:r>
        <w:rPr>
          <w:sz w:val="28"/>
          <w:szCs w:val="28"/>
          <w:lang w:val="pt-BR"/>
        </w:rPr>
        <w:t xml:space="preserve">Em uma folha em anexo, monte uma tabela análoga (chame de tabela 5) usando para o cálculo da densidade os dados de massa obtidos com a balança analítica. </w:t>
      </w:r>
    </w:p>
    <w:p>
      <w:pPr>
        <w:jc w:val="both"/>
        <w:rPr>
          <w:sz w:val="28"/>
          <w:szCs w:val="28"/>
          <w:lang w:val="pt-BR"/>
        </w:rPr>
      </w:pPr>
    </w:p>
    <w:p>
      <w:pPr>
        <w:jc w:val="both"/>
        <w:rPr>
          <w:sz w:val="28"/>
          <w:szCs w:val="28"/>
          <w:lang w:val="pt-BR"/>
        </w:rPr>
      </w:pPr>
      <w:r>
        <w:rPr>
          <w:sz w:val="28"/>
          <w:szCs w:val="28"/>
          <w:lang w:val="pt-BR"/>
        </w:rPr>
        <w:t>Represente no gráfico da Figura 1 os valores das densidades calculadas de todos os grupos da sala (</w:t>
      </w:r>
      <w:r>
        <w:rPr>
          <w:b/>
          <w:bCs/>
          <w:sz w:val="28"/>
          <w:szCs w:val="28"/>
          <w:lang w:val="pt-BR"/>
        </w:rPr>
        <w:t>tabela 4</w:t>
      </w:r>
      <w:r>
        <w:rPr>
          <w:sz w:val="28"/>
          <w:szCs w:val="28"/>
          <w:lang w:val="pt-BR"/>
        </w:rPr>
        <w:t>). Os dados de seu grupo devem ser colocados durante a aula. A numeração das peças deve seguir o número do grupo. Assim sendo, grupo 1 está relacionado às peças 1 a 5, grupo 2 às peças 6 a 10 e assim por diante.</w:t>
      </w:r>
    </w:p>
    <w:p>
      <w:pPr>
        <w:jc w:val="both"/>
        <w:rPr>
          <w:sz w:val="28"/>
          <w:szCs w:val="28"/>
          <w:lang w:val="pt-BR"/>
        </w:rPr>
        <w:sectPr>
          <w:pgSz w:w="11906" w:h="16838"/>
          <w:pgMar w:top="1418" w:right="1701" w:bottom="1418" w:left="1701" w:header="709" w:footer="709" w:gutter="0"/>
          <w:cols w:space="708" w:num="1"/>
          <w:docGrid w:linePitch="360" w:charSpace="0"/>
        </w:sectPr>
      </w:pPr>
    </w:p>
    <w:p>
      <w:pPr>
        <w:jc w:val="center"/>
        <w:rPr>
          <w:sz w:val="28"/>
          <w:szCs w:val="28"/>
          <w:lang w:val="pt-BR"/>
        </w:rPr>
      </w:pPr>
      <w: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bottomMargin">
                  <wp:align>top</wp:align>
                </wp:positionV>
                <wp:extent cx="5196840" cy="533400"/>
                <wp:effectExtent l="0" t="0" r="22860" b="19050"/>
                <wp:wrapSquare wrapText="bothSides"/>
                <wp:docPr id="6"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5196840" cy="533400"/>
                        </a:xfrm>
                        <a:prstGeom prst="rect">
                          <a:avLst/>
                        </a:prstGeom>
                        <a:solidFill>
                          <a:srgbClr val="FFFFFF"/>
                        </a:solidFill>
                        <a:ln w="9525">
                          <a:solidFill>
                            <a:srgbClr val="000000"/>
                          </a:solidFill>
                          <a:miter lim="800000"/>
                        </a:ln>
                      </wps:spPr>
                      <wps:txbx>
                        <w:txbxContent>
                          <w:p>
                            <w:pPr>
                              <w:rPr>
                                <w:sz w:val="28"/>
                                <w:szCs w:val="28"/>
                                <w:lang w:val="pt-BR"/>
                              </w:rPr>
                            </w:pPr>
                            <w:r>
                              <w:rPr>
                                <w:sz w:val="28"/>
                                <w:szCs w:val="28"/>
                                <w:lang w:val="pt-BR"/>
                              </w:rPr>
                              <w:t>Figura 1. Gráfico das densidades de plásticos obtidas em sala de aula</w:t>
                            </w:r>
                          </w:p>
                        </w:txbxContent>
                      </wps:txbx>
                      <wps:bodyPr rot="0" vert="horz" wrap="square" lIns="91440" tIns="45720" rIns="91440" bIns="45720" anchor="t" anchorCtr="0" upright="1">
                        <a:noAutofit/>
                      </wps:bodyPr>
                    </wps:wsp>
                  </a:graphicData>
                </a:graphic>
              </wp:anchor>
            </w:drawing>
          </mc:Choice>
          <mc:Fallback>
            <w:pict>
              <v:shape id="Caixa de Texto 2" o:spid="_x0000_s1026" o:spt="202" type="#_x0000_t202" style="position:absolute;left:0pt;margin-left:215.45pt;margin-top:510.25pt;height:42pt;width:409.2pt;mso-position-horizontal-relative:page;mso-position-vertical-relative:page;mso-wrap-distance-bottom:3.6pt;mso-wrap-distance-left:9pt;mso-wrap-distance-right:9pt;mso-wrap-distance-top:3.6pt;z-index:251661312;mso-width-relative:page;mso-height-relative:page;" fillcolor="#FFFFFF" filled="t" stroked="t" coordsize="21600,21600" o:gfxdata="UEsDBAoAAAAAAIdO4kAAAAAAAAAAAAAAAAAEAAAAZHJzL1BLAwQUAAAACACHTuJAqls4RNMAAAAE&#10;AQAADwAAAGRycy9kb3ducmV2LnhtbE2PwU7DMAyG70i8Q2QkLoglhWmU0nQHJBDc2EBwzRqvrUic&#10;knjdeHsyLnCxZP2/Pn+ulwfvxIQxDYE0FDMFAqkNdqBOw9vrw2UJIrEha1wg1PCNCZbN6UltKhv2&#10;tMJpzZ3IEEqV0dAzj5WUqe3RmzQLI1LOtiF6w3mNnbTR7DPcO3ml1EJ6M1C+0JsR73tsP9c7r6Gc&#10;P00f6fn65b1dbN0tX9xMj19R6/OzQt2BYDzwXxmO+lkdmuy0CTuySTgN+RH+nTkri3IOYnMEK5BN&#10;Lf/LNz9QSwMEFAAAAAgAh07iQKMAzL41AgAAjAQAAA4AAABkcnMvZTJvRG9jLnhtbK1UwW7bMAy9&#10;D9g/CLqvTtKka406RZeiw4CuG9DuAxhZjoVJokYpsbuvHy2nWdBtQA/zQSBF6pF8JH151Tsrdpqi&#10;QV/J6clECu0V1sZvKvnt8fbduRQxga/BoteVfNJRXi3fvrnsQqln2KKtNQkG8bHsQiXblEJZFFG1&#10;2kE8waA9GxskB4lV2hQ1QcfozhazyeSs6JDqQKh0jHx7MxrlHpFeA4hNY5S+QbV12qcRlbSFxCXF&#10;1oQolznbptEqfWmaqJOwleRKUz45CMvr4SyWl1BuCEJr1D4FeE0KL2pyYDwHPUDdQAKxJfMHlDOK&#10;MGKTThS6YiwkM8JVTCcvuHloIehcC1Mdw4H0+P9g1f3uKwlTV/JMCg+OG74C04OotXjUfUIxGzjq&#10;QizZ9SGwc+o/YM+Tk+uN4Q7V9yg8rlrwG31NhF2roeYcp8PL4ujpiBMHkHX3GWsOBtuEGahvyA0E&#10;MiWC0bk/T4f+cB5C8eVienF2PmeTYtvi9HQ+yQ0soHx+HSimjxqdGIRKEvc/o8PuLqYhGyifXYZg&#10;Ea2pb421WaHNemVJ7IBn5TZ/uYAXbtaLrpIXi9liJOCfEJP8/Q3CmcQrZI2r5Pmxk/V7vgaKRrJS&#10;v+73/K+xfmLmCMch5hVmoUX6KUXHA1zJ+GMLpKWwnzyzfzGdD1SlrMwX72es0LFlfWwBrxiqkkmK&#10;UVylcUu2gcym5Uhjvz1ec8cak8kcWjtmtc+bhzRzvF+oYQuO9ez1+yey/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WzhE0wAAAAQBAAAPAAAAAAAAAAEAIAAAACIAAABkcnMvZG93bnJldi54bWxQ&#10;SwECFAAUAAAACACHTuJAowDMvjUCAACMBAAADgAAAAAAAAABACAAAAAiAQAAZHJzL2Uyb0RvYy54&#10;bWxQSwUGAAAAAAYABgBZAQAAyQUAAAAA&#10;">
                <v:fill on="t" focussize="0,0"/>
                <v:stroke color="#000000" miterlimit="8" joinstyle="miter"/>
                <v:imagedata o:title=""/>
                <o:lock v:ext="edit" aspectratio="f"/>
                <v:textbox>
                  <w:txbxContent>
                    <w:p>
                      <w:pPr>
                        <w:rPr>
                          <w:sz w:val="28"/>
                          <w:szCs w:val="28"/>
                          <w:lang w:val="pt-BR"/>
                        </w:rPr>
                      </w:pPr>
                      <w:r>
                        <w:rPr>
                          <w:sz w:val="28"/>
                          <w:szCs w:val="28"/>
                          <w:lang w:val="pt-BR"/>
                        </w:rPr>
                        <w:t>Figura 1. Gráfico das densidades de plásticos obtidas em sala de aula</w:t>
                      </w:r>
                    </w:p>
                  </w:txbxContent>
                </v:textbox>
                <w10:wrap type="square"/>
              </v:shape>
            </w:pict>
          </mc:Fallback>
        </mc:AlternateContent>
      </w:r>
      <w:r>
        <w:rPr>
          <w:color w:val="000000"/>
          <w:sz w:val="33"/>
          <w:szCs w:val="33"/>
          <w:vertAlign w:val="subscript"/>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8891270" cy="5710555"/>
            <wp:effectExtent l="0" t="0" r="5080" b="4445"/>
            <wp:wrapTight wrapText="bothSides">
              <wp:wrapPolygon>
                <wp:start x="0" y="0"/>
                <wp:lineTo x="0" y="21545"/>
                <wp:lineTo x="21566" y="21545"/>
                <wp:lineTo x="21566"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8891270" cy="5710555"/>
                    </a:xfrm>
                    <a:prstGeom prst="rect">
                      <a:avLst/>
                    </a:prstGeom>
                  </pic:spPr>
                </pic:pic>
              </a:graphicData>
            </a:graphic>
          </wp:anchor>
        </w:drawing>
      </w:r>
    </w:p>
    <w:p>
      <w:pPr>
        <w:jc w:val="both"/>
        <w:rPr>
          <w:b/>
          <w:sz w:val="28"/>
          <w:szCs w:val="28"/>
          <w:lang w:val="pt-BR"/>
        </w:rPr>
        <w:sectPr>
          <w:pgSz w:w="16838" w:h="11906" w:orient="landscape"/>
          <w:pgMar w:top="1134" w:right="1418" w:bottom="1701" w:left="1418" w:header="709" w:footer="709" w:gutter="0"/>
          <w:cols w:space="708" w:num="1"/>
          <w:docGrid w:linePitch="360" w:charSpace="0"/>
        </w:sectPr>
      </w:pPr>
    </w:p>
    <w:p>
      <w:pPr>
        <w:jc w:val="both"/>
        <w:rPr>
          <w:b/>
          <w:sz w:val="28"/>
          <w:szCs w:val="28"/>
          <w:lang w:val="pt-BR"/>
        </w:rPr>
      </w:pPr>
      <w:r>
        <w:rPr>
          <w:b/>
          <w:sz w:val="28"/>
          <w:szCs w:val="28"/>
          <w:lang w:val="pt-BR"/>
        </w:rPr>
        <w:t>Discussão:</w:t>
      </w:r>
    </w:p>
    <w:p>
      <w:pPr>
        <w:jc w:val="both"/>
        <w:rPr>
          <w:sz w:val="28"/>
          <w:szCs w:val="28"/>
          <w:lang w:val="pt-BR"/>
        </w:rPr>
      </w:pPr>
    </w:p>
    <w:p>
      <w:pPr>
        <w:jc w:val="both"/>
        <w:rPr>
          <w:sz w:val="28"/>
          <w:szCs w:val="28"/>
          <w:lang w:val="pt-BR"/>
        </w:rPr>
      </w:pPr>
      <w:r>
        <w:rPr>
          <w:sz w:val="28"/>
          <w:szCs w:val="28"/>
          <w:lang w:val="pt-BR"/>
        </w:rPr>
        <w:t xml:space="preserve">Essa seção deve ser desenvolvida pelo grupo e entregue em folha anexa a este guia. Como explicado anteriormente, os guias foram idealizados para induzir aos alunos sobre quais são os itens importantes que devem ser apresentados em um trabalho científico. Para auxiliar na elaboração desse texto, apontamos a seguir alguns pontos que </w:t>
      </w:r>
      <w:r>
        <w:rPr>
          <w:b/>
          <w:sz w:val="28"/>
          <w:szCs w:val="28"/>
          <w:lang w:val="pt-BR"/>
        </w:rPr>
        <w:t>devem</w:t>
      </w:r>
      <w:r>
        <w:rPr>
          <w:sz w:val="28"/>
          <w:szCs w:val="28"/>
          <w:lang w:val="pt-BR"/>
        </w:rPr>
        <w:t xml:space="preserve"> ser discutidos nesse item:</w:t>
      </w:r>
    </w:p>
    <w:p>
      <w:pPr>
        <w:pStyle w:val="13"/>
        <w:numPr>
          <w:ilvl w:val="0"/>
          <w:numId w:val="1"/>
        </w:numPr>
        <w:jc w:val="both"/>
        <w:rPr>
          <w:sz w:val="28"/>
          <w:szCs w:val="28"/>
          <w:lang w:val="pt-BR"/>
        </w:rPr>
      </w:pPr>
      <w:r>
        <w:rPr>
          <w:sz w:val="28"/>
          <w:szCs w:val="28"/>
          <w:lang w:val="pt-BR"/>
        </w:rPr>
        <w:t>Necessidade ou não de medir várias vezes as dimensões do cilindro com a régua</w:t>
      </w:r>
    </w:p>
    <w:p>
      <w:pPr>
        <w:pStyle w:val="13"/>
        <w:numPr>
          <w:ilvl w:val="0"/>
          <w:numId w:val="1"/>
        </w:numPr>
        <w:jc w:val="both"/>
        <w:rPr>
          <w:sz w:val="28"/>
          <w:szCs w:val="28"/>
          <w:lang w:val="pt-BR"/>
        </w:rPr>
      </w:pPr>
      <w:r>
        <w:rPr>
          <w:sz w:val="28"/>
          <w:szCs w:val="28"/>
          <w:lang w:val="pt-BR"/>
        </w:rPr>
        <w:t>Os valores das incertezas no volume (tabela 3) tem o mesmo valor absoluto? Lembre-se que os valores das dimensões medidas (diâmetro e altura</w:t>
      </w:r>
      <w:r>
        <w:rPr>
          <w:rFonts w:hint="default"/>
          <w:sz w:val="28"/>
          <w:szCs w:val="28"/>
          <w:lang w:val="pt-BR"/>
        </w:rPr>
        <w:t>)</w:t>
      </w:r>
      <w:r>
        <w:rPr>
          <w:sz w:val="28"/>
          <w:szCs w:val="28"/>
          <w:lang w:val="pt-BR"/>
        </w:rPr>
        <w:t xml:space="preserve"> têm o mesmo valor absoluto </w:t>
      </w:r>
      <w:r>
        <w:rPr>
          <w:rFonts w:hint="default"/>
          <w:sz w:val="28"/>
          <w:szCs w:val="28"/>
          <w:lang w:val="pt-BR"/>
        </w:rPr>
        <w:t xml:space="preserve">de </w:t>
      </w:r>
      <w:r>
        <w:rPr>
          <w:sz w:val="28"/>
          <w:szCs w:val="28"/>
          <w:lang w:val="pt-BR"/>
        </w:rPr>
        <w:t xml:space="preserve">incerteza </w:t>
      </w:r>
      <w:r>
        <w:rPr>
          <w:rFonts w:hint="default"/>
          <w:sz w:val="28"/>
          <w:szCs w:val="28"/>
          <w:lang w:val="pt-BR"/>
        </w:rPr>
        <w:t>(</w:t>
      </w:r>
      <w:r>
        <w:rPr>
          <w:sz w:val="28"/>
          <w:szCs w:val="28"/>
          <w:lang w:val="pt-BR"/>
        </w:rPr>
        <w:t>da régua).</w:t>
      </w:r>
    </w:p>
    <w:p>
      <w:pPr>
        <w:pStyle w:val="13"/>
        <w:numPr>
          <w:ilvl w:val="0"/>
          <w:numId w:val="1"/>
        </w:numPr>
        <w:jc w:val="both"/>
        <w:rPr>
          <w:sz w:val="28"/>
          <w:szCs w:val="28"/>
          <w:lang w:val="pt-BR"/>
        </w:rPr>
      </w:pPr>
      <w:r>
        <w:rPr>
          <w:sz w:val="28"/>
          <w:szCs w:val="28"/>
          <w:lang w:val="pt-BR"/>
        </w:rPr>
        <w:t>Os valores de densidade para todas as peças da tabela 4 (cálculo com balança digital) são compatíveis entre si? Para verificar isso, note que, em geral, assumimos que os valores da densidade para cada sólido são os contidos no intervalo d ± </w:t>
      </w:r>
      <w:r>
        <w:rPr>
          <w:rFonts w:ascii="Calibri" w:hAnsi="Calibri" w:cs="Calibri"/>
          <w:sz w:val="28"/>
          <w:szCs w:val="28"/>
          <w:lang w:val="pt-BR"/>
        </w:rPr>
        <w:t>σ</w:t>
      </w:r>
      <w:r>
        <w:rPr>
          <w:sz w:val="28"/>
          <w:szCs w:val="28"/>
          <w:vertAlign w:val="subscript"/>
          <w:lang w:val="pt-BR"/>
        </w:rPr>
        <w:t>d</w:t>
      </w:r>
      <w:r>
        <w:rPr>
          <w:sz w:val="28"/>
          <w:szCs w:val="28"/>
          <w:lang w:val="pt-BR"/>
        </w:rPr>
        <w:t>. Ou seja, usando e</w:t>
      </w:r>
      <w:bookmarkStart w:id="0" w:name="_GoBack"/>
      <w:bookmarkEnd w:id="0"/>
      <w:r>
        <w:rPr>
          <w:sz w:val="28"/>
          <w:szCs w:val="28"/>
          <w:lang w:val="pt-BR"/>
        </w:rPr>
        <w:t>sse critério podemos afirmar que se trata de um único plástico?</w:t>
      </w:r>
    </w:p>
    <w:p>
      <w:pPr>
        <w:pStyle w:val="13"/>
        <w:numPr>
          <w:ilvl w:val="0"/>
          <w:numId w:val="1"/>
        </w:numPr>
        <w:jc w:val="both"/>
        <w:rPr>
          <w:sz w:val="28"/>
          <w:szCs w:val="28"/>
          <w:lang w:val="pt-BR"/>
        </w:rPr>
      </w:pPr>
      <w:r>
        <w:rPr>
          <w:sz w:val="28"/>
          <w:szCs w:val="28"/>
          <w:lang w:val="pt-BR"/>
        </w:rPr>
        <w:t>Qual é a influência da diminuição do valor da incerteza na medida de massa obtida na balança analítica na incerteza final do valor da densidade? Ou seja, os valores das incertezas de densidade da tabela 4 variaram em relação àqueles apresentados na tabela 5 na mesma proporção que variaram as incertezas relativas das massas medidas em equipamentos diferentes?</w:t>
      </w:r>
    </w:p>
    <w:p>
      <w:pPr>
        <w:pStyle w:val="13"/>
        <w:numPr>
          <w:ilvl w:val="0"/>
          <w:numId w:val="1"/>
        </w:numPr>
        <w:jc w:val="both"/>
        <w:rPr>
          <w:sz w:val="28"/>
          <w:szCs w:val="28"/>
          <w:lang w:val="pt-BR"/>
        </w:rPr>
      </w:pPr>
      <w:r>
        <w:rPr>
          <w:sz w:val="28"/>
          <w:szCs w:val="28"/>
          <w:lang w:val="pt-BR"/>
        </w:rPr>
        <w:t xml:space="preserve">É possível identificar os 5 tipos de plásticos comparando os valores apresentados no gráfico da Figura 1? Quantos grupos é possível identificar? </w:t>
      </w:r>
    </w:p>
    <w:sectPr>
      <w:pgSz w:w="11906" w:h="16838"/>
      <w:pgMar w:top="1418" w:right="1701"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A5134"/>
    <w:multiLevelType w:val="multilevel"/>
    <w:tmpl w:val="575A513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58"/>
    <w:rsid w:val="00012CC8"/>
    <w:rsid w:val="000314FC"/>
    <w:rsid w:val="000315EB"/>
    <w:rsid w:val="00033C93"/>
    <w:rsid w:val="0007482A"/>
    <w:rsid w:val="0008402D"/>
    <w:rsid w:val="000A514B"/>
    <w:rsid w:val="000A78CE"/>
    <w:rsid w:val="00132A0C"/>
    <w:rsid w:val="0017342D"/>
    <w:rsid w:val="00197A0D"/>
    <w:rsid w:val="001C09E8"/>
    <w:rsid w:val="001C4853"/>
    <w:rsid w:val="001C75A3"/>
    <w:rsid w:val="001D2B8D"/>
    <w:rsid w:val="00225204"/>
    <w:rsid w:val="002417D6"/>
    <w:rsid w:val="002845E1"/>
    <w:rsid w:val="002F08BD"/>
    <w:rsid w:val="002F53D6"/>
    <w:rsid w:val="00337990"/>
    <w:rsid w:val="00340079"/>
    <w:rsid w:val="00343413"/>
    <w:rsid w:val="00361835"/>
    <w:rsid w:val="003A7888"/>
    <w:rsid w:val="003C0DAA"/>
    <w:rsid w:val="00424B56"/>
    <w:rsid w:val="004254F5"/>
    <w:rsid w:val="00465BD5"/>
    <w:rsid w:val="004827C2"/>
    <w:rsid w:val="004A45EC"/>
    <w:rsid w:val="004B1ABF"/>
    <w:rsid w:val="004B4141"/>
    <w:rsid w:val="0050389D"/>
    <w:rsid w:val="00524D7A"/>
    <w:rsid w:val="005372FE"/>
    <w:rsid w:val="00563EEC"/>
    <w:rsid w:val="0057514B"/>
    <w:rsid w:val="00596F54"/>
    <w:rsid w:val="005C475C"/>
    <w:rsid w:val="005E78CF"/>
    <w:rsid w:val="00642972"/>
    <w:rsid w:val="006442B3"/>
    <w:rsid w:val="00645B21"/>
    <w:rsid w:val="00651952"/>
    <w:rsid w:val="0065215A"/>
    <w:rsid w:val="00673EDC"/>
    <w:rsid w:val="00684098"/>
    <w:rsid w:val="006F1EB9"/>
    <w:rsid w:val="006F6E95"/>
    <w:rsid w:val="00720CA7"/>
    <w:rsid w:val="00723DB5"/>
    <w:rsid w:val="0073240D"/>
    <w:rsid w:val="00736D61"/>
    <w:rsid w:val="007506CD"/>
    <w:rsid w:val="007618AD"/>
    <w:rsid w:val="007B1147"/>
    <w:rsid w:val="007B3B13"/>
    <w:rsid w:val="007B651C"/>
    <w:rsid w:val="007B6789"/>
    <w:rsid w:val="007C0796"/>
    <w:rsid w:val="007F0ABD"/>
    <w:rsid w:val="00864644"/>
    <w:rsid w:val="00897BCA"/>
    <w:rsid w:val="008B7968"/>
    <w:rsid w:val="009425CF"/>
    <w:rsid w:val="00950433"/>
    <w:rsid w:val="00990F75"/>
    <w:rsid w:val="00997FD6"/>
    <w:rsid w:val="009D1C46"/>
    <w:rsid w:val="009F5919"/>
    <w:rsid w:val="00A02081"/>
    <w:rsid w:val="00A768F8"/>
    <w:rsid w:val="00A82A79"/>
    <w:rsid w:val="00A94716"/>
    <w:rsid w:val="00AA0195"/>
    <w:rsid w:val="00AA2C15"/>
    <w:rsid w:val="00AE10A5"/>
    <w:rsid w:val="00B173B0"/>
    <w:rsid w:val="00B57B8B"/>
    <w:rsid w:val="00B946E3"/>
    <w:rsid w:val="00BA42CF"/>
    <w:rsid w:val="00BC04C2"/>
    <w:rsid w:val="00BC38F3"/>
    <w:rsid w:val="00BE64A9"/>
    <w:rsid w:val="00C612D0"/>
    <w:rsid w:val="00CA42C6"/>
    <w:rsid w:val="00CC404F"/>
    <w:rsid w:val="00CD6538"/>
    <w:rsid w:val="00CE0192"/>
    <w:rsid w:val="00CE0AC8"/>
    <w:rsid w:val="00CF1E93"/>
    <w:rsid w:val="00D3690C"/>
    <w:rsid w:val="00D71CE9"/>
    <w:rsid w:val="00D722D4"/>
    <w:rsid w:val="00D929DA"/>
    <w:rsid w:val="00DE0D56"/>
    <w:rsid w:val="00DE0DFE"/>
    <w:rsid w:val="00E16A2B"/>
    <w:rsid w:val="00E56452"/>
    <w:rsid w:val="00EA052E"/>
    <w:rsid w:val="00ED6577"/>
    <w:rsid w:val="00ED7120"/>
    <w:rsid w:val="00F10F1D"/>
    <w:rsid w:val="00F15897"/>
    <w:rsid w:val="00F16D67"/>
    <w:rsid w:val="00F26958"/>
    <w:rsid w:val="00F4422E"/>
    <w:rsid w:val="00F529AC"/>
    <w:rsid w:val="00F901D6"/>
    <w:rsid w:val="00F91B58"/>
    <w:rsid w:val="00FA34B3"/>
    <w:rsid w:val="00FB05E4"/>
    <w:rsid w:val="162012E8"/>
    <w:rsid w:val="35346EBE"/>
    <w:rsid w:val="59B667F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lang w:val="en-US"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semiHidden/>
    <w:unhideWhenUsed/>
    <w:uiPriority w:val="99"/>
    <w:rPr>
      <w:sz w:val="16"/>
      <w:szCs w:val="16"/>
    </w:rPr>
  </w:style>
  <w:style w:type="paragraph" w:styleId="5">
    <w:name w:val="annotation text"/>
    <w:basedOn w:val="1"/>
    <w:link w:val="11"/>
    <w:semiHidden/>
    <w:unhideWhenUsed/>
    <w:uiPriority w:val="99"/>
  </w:style>
  <w:style w:type="paragraph" w:styleId="6">
    <w:name w:val="annotation subject"/>
    <w:basedOn w:val="5"/>
    <w:next w:val="5"/>
    <w:link w:val="12"/>
    <w:semiHidden/>
    <w:unhideWhenUsed/>
    <w:uiPriority w:val="99"/>
    <w:rPr>
      <w:b/>
      <w:bCs/>
    </w:rPr>
  </w:style>
  <w:style w:type="paragraph" w:styleId="7">
    <w:name w:val="Balloon Text"/>
    <w:basedOn w:val="1"/>
    <w:link w:val="10"/>
    <w:semiHidden/>
    <w:unhideWhenUsed/>
    <w:uiPriority w:val="99"/>
    <w:rPr>
      <w:rFonts w:ascii="Segoe UI" w:hAnsi="Segoe UI" w:cs="Segoe UI"/>
      <w:sz w:val="18"/>
      <w:szCs w:val="18"/>
    </w:rPr>
  </w:style>
  <w:style w:type="table" w:styleId="8">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APOST_TEXTO"/>
    <w:basedOn w:val="1"/>
    <w:qFormat/>
    <w:uiPriority w:val="0"/>
    <w:pPr>
      <w:overflowPunct/>
      <w:autoSpaceDE/>
      <w:autoSpaceDN/>
      <w:adjustRightInd/>
      <w:spacing w:before="160"/>
      <w:ind w:firstLine="709"/>
      <w:jc w:val="both"/>
      <w:textAlignment w:val="auto"/>
    </w:pPr>
    <w:rPr>
      <w:sz w:val="28"/>
      <w:szCs w:val="28"/>
      <w:lang w:val="pt-BR"/>
    </w:rPr>
  </w:style>
  <w:style w:type="character" w:customStyle="1" w:styleId="10">
    <w:name w:val="Texto de balão Char"/>
    <w:link w:val="7"/>
    <w:semiHidden/>
    <w:uiPriority w:val="99"/>
    <w:rPr>
      <w:rFonts w:ascii="Segoe UI" w:hAnsi="Segoe UI" w:eastAsia="Times New Roman" w:cs="Segoe UI"/>
      <w:sz w:val="18"/>
      <w:szCs w:val="18"/>
      <w:lang w:val="en-US"/>
    </w:rPr>
  </w:style>
  <w:style w:type="character" w:customStyle="1" w:styleId="11">
    <w:name w:val="Texto de comentário Char"/>
    <w:link w:val="5"/>
    <w:semiHidden/>
    <w:uiPriority w:val="99"/>
    <w:rPr>
      <w:rFonts w:ascii="Times New Roman" w:hAnsi="Times New Roman" w:eastAsia="Times New Roman"/>
      <w:lang w:val="en-US"/>
    </w:rPr>
  </w:style>
  <w:style w:type="character" w:customStyle="1" w:styleId="12">
    <w:name w:val="Assunto do comentário Char"/>
    <w:link w:val="6"/>
    <w:semiHidden/>
    <w:qFormat/>
    <w:uiPriority w:val="99"/>
    <w:rPr>
      <w:rFonts w:ascii="Times New Roman" w:hAnsi="Times New Roman" w:eastAsia="Times New Roman"/>
      <w:b/>
      <w:bCs/>
      <w:lang w:val="en-US"/>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DFN - IFUSP</Company>
  <Pages>4</Pages>
  <Words>562</Words>
  <Characters>3206</Characters>
  <Lines>26</Lines>
  <Paragraphs>7</Paragraphs>
  <TotalTime>0</TotalTime>
  <ScaleCrop>false</ScaleCrop>
  <LinksUpToDate>false</LinksUpToDate>
  <CharactersWithSpaces>3761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2022-08-02T19:21:00Z</dcterms:created>
  <dc:creator>Nemitala</dc:creator>
  <cp:lastModifiedBy>Ricardo Terini</cp:lastModifiedBy>
  <cp:lastPrinted>2016-03-01T14:48:00Z</cp:lastPrinted>
  <dcterms:modified xsi:type="dcterms:W3CDTF">2023-03-29T14:18:02Z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1046-11.2.0.11513</vt:lpwstr>
  </property>
  <property fmtid="{D5CDD505-2E9C-101B-9397-08002B2CF9AE}" pid="3" name="ICV">
    <vt:lpwstr>4B5FA63D45514D0CA33107FDEE497C63</vt:lpwstr>
  </property>
</Properties>
</file>