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68" w:rsidRPr="00273767" w:rsidRDefault="002B1067" w:rsidP="000F4E66">
      <w:pPr>
        <w:jc w:val="center"/>
        <w:rPr>
          <w:rFonts w:ascii="Times New Roman" w:hAnsi="Times New Roman"/>
          <w:b/>
          <w:sz w:val="24"/>
          <w:szCs w:val="24"/>
        </w:rPr>
      </w:pPr>
      <w:r w:rsidRPr="00273767">
        <w:rPr>
          <w:rFonts w:ascii="Times New Roman" w:hAnsi="Times New Roman"/>
          <w:b/>
          <w:sz w:val="24"/>
          <w:szCs w:val="24"/>
        </w:rPr>
        <w:t xml:space="preserve">EDM0678 – NATUREZA, CULTURA CIENTÍFICA E EDUCAÇÃO - </w:t>
      </w:r>
      <w:proofErr w:type="gramStart"/>
      <w:r w:rsidRPr="00273767">
        <w:rPr>
          <w:rFonts w:ascii="Times New Roman" w:hAnsi="Times New Roman"/>
          <w:b/>
          <w:sz w:val="24"/>
          <w:szCs w:val="24"/>
        </w:rPr>
        <w:t>201</w:t>
      </w:r>
      <w:r w:rsidR="00CF281F">
        <w:rPr>
          <w:rFonts w:ascii="Times New Roman" w:hAnsi="Times New Roman"/>
          <w:b/>
          <w:sz w:val="24"/>
          <w:szCs w:val="24"/>
        </w:rPr>
        <w:t>3</w:t>
      </w:r>
      <w:proofErr w:type="gramEnd"/>
    </w:p>
    <w:p w:rsidR="000F4E66" w:rsidRPr="00273767" w:rsidRDefault="000F4E66" w:rsidP="000F4E6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F4E66" w:rsidRPr="00273767" w:rsidRDefault="000F4E66" w:rsidP="000F4E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3767">
        <w:rPr>
          <w:rFonts w:ascii="Arial" w:hAnsi="Arial" w:cs="Arial"/>
          <w:b/>
          <w:sz w:val="20"/>
          <w:szCs w:val="20"/>
          <w:u w:val="single"/>
        </w:rPr>
        <w:t>Avaliação: Reflexão individual sobre os textos da Bibliografia Básica</w:t>
      </w:r>
    </w:p>
    <w:p w:rsidR="000F4E66" w:rsidRPr="00273767" w:rsidRDefault="000F4E66" w:rsidP="000F4E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F4E66" w:rsidRPr="00273767" w:rsidRDefault="000F4E66" w:rsidP="000F4E6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F4E66" w:rsidRPr="00273767" w:rsidRDefault="000F4E66" w:rsidP="008D793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As questões abaixo devem ser respondidas e enviadas pela plataforma da disciplina no </w:t>
      </w:r>
      <w:proofErr w:type="spellStart"/>
      <w:r w:rsidRPr="00273767">
        <w:rPr>
          <w:rFonts w:ascii="Arial" w:hAnsi="Arial" w:cs="Arial"/>
          <w:sz w:val="20"/>
          <w:szCs w:val="20"/>
        </w:rPr>
        <w:t>Moodle</w:t>
      </w:r>
      <w:proofErr w:type="spellEnd"/>
      <w:r w:rsidRPr="00273767">
        <w:rPr>
          <w:rFonts w:ascii="Arial" w:hAnsi="Arial" w:cs="Arial"/>
          <w:sz w:val="20"/>
          <w:szCs w:val="20"/>
        </w:rPr>
        <w:t xml:space="preserve"> </w:t>
      </w:r>
      <w:r w:rsidR="00CF281F">
        <w:rPr>
          <w:rFonts w:ascii="Arial" w:hAnsi="Arial" w:cs="Arial"/>
          <w:sz w:val="20"/>
          <w:szCs w:val="20"/>
        </w:rPr>
        <w:t xml:space="preserve">do Stoa </w:t>
      </w:r>
      <w:r w:rsidRPr="00273767">
        <w:rPr>
          <w:rFonts w:ascii="Arial" w:hAnsi="Arial" w:cs="Arial"/>
          <w:sz w:val="20"/>
          <w:szCs w:val="20"/>
        </w:rPr>
        <w:t xml:space="preserve">até dia </w:t>
      </w:r>
      <w:r w:rsidR="00CF281F">
        <w:rPr>
          <w:rFonts w:ascii="Arial" w:hAnsi="Arial" w:cs="Arial"/>
          <w:sz w:val="20"/>
          <w:szCs w:val="20"/>
        </w:rPr>
        <w:t>30 de jun</w:t>
      </w:r>
      <w:r w:rsidRPr="00273767">
        <w:rPr>
          <w:rFonts w:ascii="Arial" w:hAnsi="Arial" w:cs="Arial"/>
          <w:sz w:val="20"/>
          <w:szCs w:val="20"/>
        </w:rPr>
        <w:t xml:space="preserve">ho </w:t>
      </w:r>
      <w:r w:rsidR="005E72C8" w:rsidRPr="00273767">
        <w:rPr>
          <w:rFonts w:ascii="Arial" w:hAnsi="Arial" w:cs="Arial"/>
          <w:sz w:val="20"/>
          <w:szCs w:val="20"/>
        </w:rPr>
        <w:t>à</w:t>
      </w:r>
      <w:r w:rsidRPr="00273767">
        <w:rPr>
          <w:rFonts w:ascii="Arial" w:hAnsi="Arial" w:cs="Arial"/>
          <w:sz w:val="20"/>
          <w:szCs w:val="20"/>
        </w:rPr>
        <w:t xml:space="preserve">s </w:t>
      </w:r>
      <w:proofErr w:type="gramStart"/>
      <w:r w:rsidRPr="00273767">
        <w:rPr>
          <w:rFonts w:ascii="Arial" w:hAnsi="Arial" w:cs="Arial"/>
          <w:sz w:val="20"/>
          <w:szCs w:val="20"/>
        </w:rPr>
        <w:t>2</w:t>
      </w:r>
      <w:r w:rsidR="00323BE8">
        <w:rPr>
          <w:rFonts w:ascii="Arial" w:hAnsi="Arial" w:cs="Arial"/>
          <w:sz w:val="20"/>
          <w:szCs w:val="20"/>
        </w:rPr>
        <w:t>3</w:t>
      </w:r>
      <w:r w:rsidR="00273767">
        <w:rPr>
          <w:rFonts w:ascii="Arial" w:hAnsi="Arial" w:cs="Arial"/>
          <w:sz w:val="20"/>
          <w:szCs w:val="20"/>
        </w:rPr>
        <w:t>h</w:t>
      </w:r>
      <w:r w:rsidR="008E1235">
        <w:rPr>
          <w:rFonts w:ascii="Arial" w:hAnsi="Arial" w:cs="Arial"/>
          <w:sz w:val="20"/>
          <w:szCs w:val="20"/>
        </w:rPr>
        <w:t>:</w:t>
      </w:r>
      <w:proofErr w:type="gramEnd"/>
      <w:r w:rsidR="008E1235">
        <w:rPr>
          <w:rFonts w:ascii="Arial" w:hAnsi="Arial" w:cs="Arial"/>
          <w:sz w:val="20"/>
          <w:szCs w:val="20"/>
        </w:rPr>
        <w:t>55</w:t>
      </w:r>
    </w:p>
    <w:p w:rsidR="000F4E66" w:rsidRPr="00273767" w:rsidRDefault="000F4E66" w:rsidP="008D79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F4E66" w:rsidRPr="00273767" w:rsidRDefault="000F4E66" w:rsidP="008D79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F4E66" w:rsidRPr="00273767" w:rsidRDefault="000F4E66" w:rsidP="008D793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A relação entre educação formal, não formal e informal é complexa e não se restringe ao espaço físico onde a ação educativa ocorre. Além disso, o desenvolvimento de atividades educacionais fora do espaço escolar vem se ampliando promovendo a necessidade de se obter uma maior compreensão sobre suas características e especificidades. A partir da bibliografia indicada, elabore um pequeno texto (em torno de </w:t>
      </w:r>
      <w:r w:rsidR="00E24577" w:rsidRPr="00273767">
        <w:rPr>
          <w:rFonts w:ascii="Arial" w:hAnsi="Arial" w:cs="Arial"/>
          <w:sz w:val="20"/>
          <w:szCs w:val="20"/>
        </w:rPr>
        <w:t>300 palavras</w:t>
      </w:r>
      <w:r w:rsidRPr="00273767">
        <w:rPr>
          <w:rFonts w:ascii="Arial" w:hAnsi="Arial" w:cs="Arial"/>
          <w:sz w:val="20"/>
          <w:szCs w:val="20"/>
        </w:rPr>
        <w:t>) que indique:</w:t>
      </w:r>
    </w:p>
    <w:p w:rsidR="000F4E66" w:rsidRPr="00273767" w:rsidRDefault="000F4E66" w:rsidP="008D7939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F4E66" w:rsidRPr="00273767" w:rsidRDefault="000F4E66" w:rsidP="008D793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Alguns dos elementos </w:t>
      </w:r>
      <w:r w:rsidR="00D73390" w:rsidRPr="00273767">
        <w:rPr>
          <w:rFonts w:ascii="Arial" w:hAnsi="Arial" w:cs="Arial"/>
          <w:sz w:val="20"/>
          <w:szCs w:val="20"/>
        </w:rPr>
        <w:t xml:space="preserve">que </w:t>
      </w:r>
      <w:r w:rsidRPr="00273767">
        <w:rPr>
          <w:rFonts w:ascii="Arial" w:hAnsi="Arial" w:cs="Arial"/>
          <w:sz w:val="20"/>
          <w:szCs w:val="20"/>
        </w:rPr>
        <w:t>car</w:t>
      </w:r>
      <w:r w:rsidR="00D73390" w:rsidRPr="00273767">
        <w:rPr>
          <w:rFonts w:ascii="Arial" w:hAnsi="Arial" w:cs="Arial"/>
          <w:sz w:val="20"/>
          <w:szCs w:val="20"/>
        </w:rPr>
        <w:t>acterizam a educação não formal e</w:t>
      </w:r>
      <w:r w:rsidRPr="00273767">
        <w:rPr>
          <w:rFonts w:ascii="Arial" w:hAnsi="Arial" w:cs="Arial"/>
          <w:sz w:val="20"/>
          <w:szCs w:val="20"/>
        </w:rPr>
        <w:t xml:space="preserve"> as suas potencialidades enquanto prática pedagógica</w:t>
      </w:r>
      <w:r w:rsidR="00D73390" w:rsidRPr="00273767">
        <w:rPr>
          <w:rFonts w:ascii="Arial" w:hAnsi="Arial" w:cs="Arial"/>
          <w:sz w:val="20"/>
          <w:szCs w:val="20"/>
        </w:rPr>
        <w:t>,</w:t>
      </w:r>
      <w:r w:rsidRPr="00273767">
        <w:rPr>
          <w:rFonts w:ascii="Arial" w:hAnsi="Arial" w:cs="Arial"/>
          <w:sz w:val="20"/>
          <w:szCs w:val="20"/>
        </w:rPr>
        <w:t xml:space="preserve"> especialmente para o ensino e a</w:t>
      </w:r>
      <w:r w:rsidR="00D73390" w:rsidRPr="00273767">
        <w:rPr>
          <w:rFonts w:ascii="Arial" w:hAnsi="Arial" w:cs="Arial"/>
          <w:sz w:val="20"/>
          <w:szCs w:val="20"/>
        </w:rPr>
        <w:t>prendizagem de conceitos voltado</w:t>
      </w:r>
      <w:r w:rsidRPr="00273767">
        <w:rPr>
          <w:rFonts w:ascii="Arial" w:hAnsi="Arial" w:cs="Arial"/>
          <w:sz w:val="20"/>
          <w:szCs w:val="20"/>
        </w:rPr>
        <w:t xml:space="preserve">s </w:t>
      </w:r>
      <w:r w:rsidR="00D73390" w:rsidRPr="00273767">
        <w:rPr>
          <w:rFonts w:ascii="Arial" w:hAnsi="Arial" w:cs="Arial"/>
          <w:sz w:val="20"/>
          <w:szCs w:val="20"/>
        </w:rPr>
        <w:t>à</w:t>
      </w:r>
      <w:r w:rsidRPr="00273767">
        <w:rPr>
          <w:rFonts w:ascii="Arial" w:hAnsi="Arial" w:cs="Arial"/>
          <w:sz w:val="20"/>
          <w:szCs w:val="20"/>
        </w:rPr>
        <w:t>s áreas das ciências naturais e humanas.</w:t>
      </w:r>
    </w:p>
    <w:p w:rsidR="000F4E66" w:rsidRPr="00273767" w:rsidRDefault="000F4E66" w:rsidP="008D793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As vantagens e os desafios da escola promover saídas pedagógicas</w:t>
      </w:r>
      <w:r w:rsidR="00D73390" w:rsidRPr="00273767">
        <w:rPr>
          <w:rFonts w:ascii="Arial" w:hAnsi="Arial" w:cs="Arial"/>
          <w:sz w:val="20"/>
          <w:szCs w:val="20"/>
        </w:rPr>
        <w:t>.</w:t>
      </w:r>
    </w:p>
    <w:p w:rsidR="000F4E66" w:rsidRPr="00273767" w:rsidRDefault="000F4E66" w:rsidP="008D7939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F4E66" w:rsidRPr="00273767" w:rsidRDefault="000F4E66" w:rsidP="008D793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Nos espaços de educação não formal como museus, aquários, parques, entre outros, os processos de ensino e aprendizagem se dão a partir da relação pedagógica entre o conhecimento exposto por meio de objetos e textos, a mediação feita por monitores e o</w:t>
      </w:r>
      <w:r w:rsidR="00E24577" w:rsidRPr="00273767">
        <w:rPr>
          <w:rFonts w:ascii="Arial" w:hAnsi="Arial" w:cs="Arial"/>
          <w:sz w:val="20"/>
          <w:szCs w:val="20"/>
        </w:rPr>
        <w:t>s visitantes/alunos. Desse modo</w:t>
      </w:r>
      <w:r w:rsidRPr="00273767">
        <w:rPr>
          <w:rFonts w:ascii="Arial" w:hAnsi="Arial" w:cs="Arial"/>
          <w:sz w:val="20"/>
          <w:szCs w:val="20"/>
        </w:rPr>
        <w:t>:</w:t>
      </w:r>
    </w:p>
    <w:p w:rsidR="000F4E66" w:rsidRPr="00273767" w:rsidRDefault="000F4E66" w:rsidP="008D793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0F4E66" w:rsidRPr="00273767" w:rsidRDefault="000F4E66" w:rsidP="008D793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Indique algumas das formas de interatividade promovidas por meio dos objetos nos museus, caracteriz</w:t>
      </w:r>
      <w:r w:rsidR="00E24577" w:rsidRPr="00273767">
        <w:rPr>
          <w:rFonts w:ascii="Arial" w:hAnsi="Arial" w:cs="Arial"/>
          <w:sz w:val="20"/>
          <w:szCs w:val="20"/>
        </w:rPr>
        <w:t>ando o papel do visitante/aluno</w:t>
      </w:r>
      <w:r w:rsidRPr="00273767">
        <w:rPr>
          <w:rFonts w:ascii="Arial" w:hAnsi="Arial" w:cs="Arial"/>
          <w:sz w:val="20"/>
          <w:szCs w:val="20"/>
        </w:rPr>
        <w:t xml:space="preserve"> neste processo</w:t>
      </w:r>
      <w:r w:rsidR="00E24577" w:rsidRPr="00273767">
        <w:rPr>
          <w:rFonts w:ascii="Arial" w:hAnsi="Arial" w:cs="Arial"/>
          <w:sz w:val="20"/>
          <w:szCs w:val="20"/>
        </w:rPr>
        <w:t>.</w:t>
      </w:r>
    </w:p>
    <w:p w:rsidR="000F4E66" w:rsidRPr="00273767" w:rsidRDefault="000F4E66" w:rsidP="008D793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273767">
        <w:rPr>
          <w:rFonts w:ascii="Arial" w:hAnsi="Arial" w:cs="Arial"/>
          <w:sz w:val="20"/>
          <w:szCs w:val="20"/>
        </w:rPr>
        <w:t>Discuta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quais são os desafios e as possibilidades da atuação do monitor enquanto um educador nesses locais, ao desenvolver processos de ensino e aprendizagem do público</w:t>
      </w:r>
      <w:r w:rsidR="00E24577" w:rsidRPr="00273767">
        <w:rPr>
          <w:rFonts w:ascii="Arial" w:hAnsi="Arial" w:cs="Arial"/>
          <w:sz w:val="20"/>
          <w:szCs w:val="20"/>
        </w:rPr>
        <w:t>.</w:t>
      </w:r>
    </w:p>
    <w:p w:rsidR="000F4E66" w:rsidRPr="00273767" w:rsidRDefault="000F4E66" w:rsidP="008D793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2B1067" w:rsidRPr="00273767" w:rsidRDefault="00AD6658" w:rsidP="008D793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As atividades desenvolvidas fora dos espaços de estudo contidos nas escolas são designadas por um diversificado conjunto de termos, que podem ser representados pela expressão “Atividades de Campo”. </w:t>
      </w:r>
      <w:r w:rsidR="002B1067" w:rsidRPr="00273767">
        <w:rPr>
          <w:rFonts w:ascii="Arial" w:hAnsi="Arial" w:cs="Arial"/>
          <w:sz w:val="20"/>
          <w:szCs w:val="20"/>
        </w:rPr>
        <w:t xml:space="preserve">Indique algumas das características próprias das atividades de campo e </w:t>
      </w:r>
      <w:r w:rsidRPr="00273767">
        <w:rPr>
          <w:rFonts w:ascii="Arial" w:hAnsi="Arial" w:cs="Arial"/>
          <w:sz w:val="20"/>
          <w:szCs w:val="20"/>
        </w:rPr>
        <w:t xml:space="preserve">discuta </w:t>
      </w:r>
      <w:r w:rsidR="002B1067" w:rsidRPr="00273767">
        <w:rPr>
          <w:rFonts w:ascii="Arial" w:hAnsi="Arial" w:cs="Arial"/>
          <w:sz w:val="20"/>
          <w:szCs w:val="20"/>
        </w:rPr>
        <w:t>sua potencialidade pedagógica.</w:t>
      </w:r>
    </w:p>
    <w:p w:rsidR="000E0AF6" w:rsidRPr="00273767" w:rsidRDefault="000E0AF6" w:rsidP="008D7939">
      <w:pPr>
        <w:pStyle w:val="PargrafodaLista"/>
        <w:spacing w:after="0" w:line="360" w:lineRule="auto"/>
        <w:rPr>
          <w:rFonts w:ascii="Arial" w:hAnsi="Arial" w:cs="Arial"/>
          <w:sz w:val="20"/>
          <w:szCs w:val="20"/>
        </w:rPr>
      </w:pPr>
    </w:p>
    <w:p w:rsidR="004940C4" w:rsidRPr="00273767" w:rsidRDefault="004940C4" w:rsidP="008D793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Através da leitura do texto “Subsídios para a elaboração da entrevista em São Sebastião”, defina um problema para uma pesquisa, cujo tema seja </w:t>
      </w:r>
      <w:r w:rsidRPr="00273767">
        <w:rPr>
          <w:rFonts w:ascii="Arial" w:hAnsi="Arial" w:cs="Arial"/>
          <w:i/>
          <w:sz w:val="20"/>
          <w:szCs w:val="20"/>
        </w:rPr>
        <w:t>cidade</w:t>
      </w:r>
      <w:r w:rsidRPr="00273767">
        <w:rPr>
          <w:rFonts w:ascii="Arial" w:hAnsi="Arial" w:cs="Arial"/>
          <w:sz w:val="20"/>
          <w:szCs w:val="20"/>
        </w:rPr>
        <w:t xml:space="preserve"> e o foco de investigação os conceitos de lugar e paisagem</w:t>
      </w:r>
      <w:r w:rsidR="00A15EFC" w:rsidRPr="00273767">
        <w:rPr>
          <w:rFonts w:ascii="Arial" w:hAnsi="Arial" w:cs="Arial"/>
          <w:sz w:val="20"/>
          <w:szCs w:val="20"/>
        </w:rPr>
        <w:t>. Elabore um texto em torno de 400 palavras que:</w:t>
      </w:r>
    </w:p>
    <w:p w:rsidR="004940C4" w:rsidRPr="00273767" w:rsidRDefault="004940C4" w:rsidP="008D79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40C4" w:rsidRPr="00273767" w:rsidRDefault="004940C4" w:rsidP="008D793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Justifique a definição do problema conforme discutido no texto “Lugar de vivência: a cidade e a aprendizagem” – Sonia M. V. Castellar;</w:t>
      </w:r>
    </w:p>
    <w:p w:rsidR="004940C4" w:rsidRPr="00273767" w:rsidRDefault="004940C4" w:rsidP="008D793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lastRenderedPageBreak/>
        <w:t>Elabore uma entrevista com cinco questões que envolvam o problema, de acordo com as orientações do texto “Questionários e entrevistas: algumas considerações” – Ana M. M. C. Marangoni.</w:t>
      </w:r>
    </w:p>
    <w:p w:rsidR="004940C4" w:rsidRPr="00273767" w:rsidRDefault="004940C4" w:rsidP="008D79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40C4" w:rsidRPr="00273767" w:rsidRDefault="004940C4" w:rsidP="0027376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Nota: Nesta questão deverão ser tratados três elementos relacionados:</w:t>
      </w:r>
      <w:r w:rsidR="00A15EFC" w:rsidRPr="00273767">
        <w:rPr>
          <w:rFonts w:ascii="Arial" w:hAnsi="Arial" w:cs="Arial"/>
          <w:sz w:val="20"/>
          <w:szCs w:val="20"/>
        </w:rPr>
        <w:t xml:space="preserve"> </w:t>
      </w:r>
      <w:r w:rsidRPr="00273767">
        <w:rPr>
          <w:rFonts w:ascii="Arial" w:hAnsi="Arial" w:cs="Arial"/>
          <w:sz w:val="20"/>
          <w:szCs w:val="20"/>
        </w:rPr>
        <w:t>Definição dos problemas;</w:t>
      </w:r>
      <w:r w:rsidR="00A15EFC" w:rsidRPr="00273767">
        <w:rPr>
          <w:rFonts w:ascii="Arial" w:hAnsi="Arial" w:cs="Arial"/>
          <w:sz w:val="20"/>
          <w:szCs w:val="20"/>
        </w:rPr>
        <w:t xml:space="preserve"> </w:t>
      </w:r>
      <w:r w:rsidRPr="00273767">
        <w:rPr>
          <w:rFonts w:ascii="Arial" w:hAnsi="Arial" w:cs="Arial"/>
          <w:sz w:val="20"/>
          <w:szCs w:val="20"/>
        </w:rPr>
        <w:t>Justificativa; e</w:t>
      </w:r>
      <w:r w:rsidR="00A15EFC" w:rsidRPr="00273767">
        <w:rPr>
          <w:rFonts w:ascii="Arial" w:hAnsi="Arial" w:cs="Arial"/>
          <w:sz w:val="20"/>
          <w:szCs w:val="20"/>
        </w:rPr>
        <w:t xml:space="preserve"> E</w:t>
      </w:r>
      <w:r w:rsidRPr="00273767">
        <w:rPr>
          <w:rFonts w:ascii="Arial" w:hAnsi="Arial" w:cs="Arial"/>
          <w:sz w:val="20"/>
          <w:szCs w:val="20"/>
        </w:rPr>
        <w:t>ntrevista.</w:t>
      </w:r>
    </w:p>
    <w:p w:rsidR="004940C4" w:rsidRPr="00273767" w:rsidRDefault="004940C4" w:rsidP="008D79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940C4" w:rsidRDefault="00A15EFC" w:rsidP="002737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Descreva em até 200 palavras </w:t>
      </w:r>
      <w:r w:rsidRPr="00273767">
        <w:rPr>
          <w:rFonts w:ascii="Arial" w:hAnsi="Arial" w:cs="Arial"/>
          <w:i/>
          <w:sz w:val="20"/>
          <w:szCs w:val="20"/>
        </w:rPr>
        <w:t>q</w:t>
      </w:r>
      <w:r w:rsidR="004940C4" w:rsidRPr="00273767">
        <w:rPr>
          <w:rFonts w:ascii="Arial" w:hAnsi="Arial" w:cs="Arial"/>
          <w:i/>
          <w:sz w:val="20"/>
          <w:szCs w:val="20"/>
        </w:rPr>
        <w:t>ual a contribuição da elaboração da maquete para a Educação Geográfica do Aluno?</w:t>
      </w:r>
      <w:r w:rsidRPr="00273767">
        <w:rPr>
          <w:rFonts w:ascii="Arial" w:hAnsi="Arial" w:cs="Arial"/>
          <w:sz w:val="20"/>
          <w:szCs w:val="20"/>
        </w:rPr>
        <w:t xml:space="preserve"> </w:t>
      </w:r>
      <w:r w:rsidR="00273767" w:rsidRPr="00273767">
        <w:rPr>
          <w:rFonts w:ascii="Arial" w:hAnsi="Arial" w:cs="Arial"/>
          <w:sz w:val="20"/>
          <w:szCs w:val="20"/>
        </w:rPr>
        <w:t>U</w:t>
      </w:r>
      <w:r w:rsidRPr="00273767">
        <w:rPr>
          <w:rFonts w:ascii="Arial" w:hAnsi="Arial" w:cs="Arial"/>
          <w:sz w:val="20"/>
          <w:szCs w:val="20"/>
        </w:rPr>
        <w:t>tilize</w:t>
      </w:r>
      <w:r w:rsidR="004940C4" w:rsidRPr="00273767">
        <w:rPr>
          <w:rFonts w:ascii="Arial" w:hAnsi="Arial" w:cs="Arial"/>
          <w:sz w:val="20"/>
          <w:szCs w:val="20"/>
        </w:rPr>
        <w:t xml:space="preserve"> como base os textos: </w:t>
      </w:r>
      <w:r w:rsidR="00273767" w:rsidRPr="00273767">
        <w:rPr>
          <w:rFonts w:ascii="Arial" w:hAnsi="Arial" w:cs="Arial"/>
          <w:sz w:val="20"/>
          <w:szCs w:val="20"/>
        </w:rPr>
        <w:t>BIASI, M. de. Construção de mapas em relevo - utilização de recursos audiovisuais na didática da geografia e CASTELLAR, S. M. V. A cartografia e a construção do conhecimento em contexto escolar.</w:t>
      </w:r>
    </w:p>
    <w:p w:rsidR="005D0E7E" w:rsidRPr="00273767" w:rsidRDefault="005D0E7E" w:rsidP="005D0E7E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940C4" w:rsidRPr="00273767" w:rsidRDefault="005D0E7E" w:rsidP="008D7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E7E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6576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49" t="22118" r="5115" b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39" w:rsidRPr="00273767" w:rsidRDefault="008D7939" w:rsidP="008D7939">
      <w:pPr>
        <w:spacing w:after="120" w:line="240" w:lineRule="auto"/>
        <w:contextualSpacing/>
        <w:rPr>
          <w:rFonts w:ascii="Times New Roman" w:hAnsi="Times New Roman"/>
          <w:b/>
        </w:rPr>
      </w:pPr>
    </w:p>
    <w:p w:rsidR="00273767" w:rsidRPr="00273767" w:rsidRDefault="00273767" w:rsidP="0027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b/>
          <w:sz w:val="20"/>
          <w:szCs w:val="20"/>
        </w:rPr>
        <w:t>Bibliografia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73767">
        <w:rPr>
          <w:rFonts w:ascii="Arial" w:hAnsi="Arial" w:cs="Arial"/>
          <w:sz w:val="20"/>
          <w:szCs w:val="20"/>
        </w:rPr>
        <w:t xml:space="preserve">As indicações de bibliografia estão disponíveis na página da disciplina no </w:t>
      </w:r>
      <w:proofErr w:type="spellStart"/>
      <w:r w:rsidRPr="00273767">
        <w:rPr>
          <w:rFonts w:ascii="Arial" w:hAnsi="Arial" w:cs="Arial"/>
          <w:sz w:val="20"/>
          <w:szCs w:val="20"/>
        </w:rPr>
        <w:t>Moodle</w:t>
      </w:r>
      <w:proofErr w:type="spellEnd"/>
      <w:r w:rsidRPr="00273767">
        <w:rPr>
          <w:rFonts w:ascii="Arial" w:hAnsi="Arial" w:cs="Arial"/>
          <w:sz w:val="20"/>
          <w:szCs w:val="20"/>
        </w:rPr>
        <w:t>.</w:t>
      </w:r>
    </w:p>
    <w:p w:rsidR="00273767" w:rsidRDefault="00273767" w:rsidP="008D7939">
      <w:pPr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7939" w:rsidRPr="00273767" w:rsidRDefault="000E0AF6" w:rsidP="008D7939">
      <w:pPr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273767">
        <w:rPr>
          <w:rFonts w:ascii="Arial" w:hAnsi="Arial" w:cs="Arial"/>
          <w:b/>
          <w:sz w:val="20"/>
          <w:szCs w:val="20"/>
        </w:rPr>
        <w:t>Bibliografia Básica</w:t>
      </w:r>
    </w:p>
    <w:p w:rsidR="008D7939" w:rsidRPr="00273767" w:rsidRDefault="008D7939" w:rsidP="008D7939">
      <w:pPr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617D4" w:rsidRPr="00B94CBA" w:rsidRDefault="009617D4" w:rsidP="00273767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</w:rPr>
        <w:t>BIASI, M. de. Construção de mapas em relevo - utilização de recursos audiovisuais na didática da geografia. Revista Orientação, São Paulo, n. 2, set. 1966.</w:t>
      </w:r>
    </w:p>
    <w:p w:rsidR="00391CD4" w:rsidRPr="00B94CBA" w:rsidRDefault="009617D4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</w:rPr>
        <w:t xml:space="preserve">CASTELLAR, </w:t>
      </w:r>
      <w:proofErr w:type="spellStart"/>
      <w:r w:rsidRPr="00B94CBA">
        <w:rPr>
          <w:rFonts w:ascii="Arial" w:hAnsi="Arial" w:cs="Arial"/>
          <w:sz w:val="20"/>
          <w:szCs w:val="20"/>
        </w:rPr>
        <w:t>S.M.V.</w:t>
      </w:r>
      <w:proofErr w:type="spellEnd"/>
      <w:r w:rsidR="00391CD4" w:rsidRPr="00B94CBA">
        <w:rPr>
          <w:rFonts w:ascii="Arial" w:hAnsi="Arial" w:cs="Arial"/>
          <w:sz w:val="20"/>
          <w:szCs w:val="20"/>
        </w:rPr>
        <w:t xml:space="preserve"> A cidade como método de es</w:t>
      </w:r>
      <w:r w:rsidRPr="00B94CBA">
        <w:rPr>
          <w:rFonts w:ascii="Arial" w:hAnsi="Arial" w:cs="Arial"/>
          <w:sz w:val="20"/>
          <w:szCs w:val="20"/>
        </w:rPr>
        <w:t xml:space="preserve">tudo na educação geográfica. </w:t>
      </w:r>
      <w:r w:rsidRPr="00B94CBA">
        <w:rPr>
          <w:rFonts w:ascii="Arial" w:hAnsi="Arial" w:cs="Arial"/>
          <w:sz w:val="20"/>
          <w:szCs w:val="20"/>
          <w:lang w:val="es-ES"/>
        </w:rPr>
        <w:t>In</w:t>
      </w:r>
      <w:r w:rsidR="00391CD4" w:rsidRPr="00B94CBA">
        <w:rPr>
          <w:rFonts w:ascii="Arial" w:hAnsi="Arial" w:cs="Arial"/>
          <w:sz w:val="20"/>
          <w:szCs w:val="20"/>
          <w:lang w:val="es-ES"/>
        </w:rPr>
        <w:t>: </w:t>
      </w:r>
      <w:r w:rsidRPr="00B94CBA">
        <w:rPr>
          <w:rFonts w:ascii="Arial" w:hAnsi="Arial" w:cs="Arial"/>
          <w:sz w:val="20"/>
          <w:szCs w:val="20"/>
          <w:lang w:val="es-ES"/>
        </w:rPr>
        <w:t>LACHE</w:t>
      </w:r>
      <w:r w:rsidR="00391CD4" w:rsidRPr="00B94CBA">
        <w:rPr>
          <w:rFonts w:ascii="Arial" w:hAnsi="Arial" w:cs="Arial"/>
          <w:sz w:val="20"/>
          <w:szCs w:val="20"/>
          <w:lang w:val="es-ES"/>
        </w:rPr>
        <w:t>, N</w:t>
      </w:r>
      <w:r w:rsidRPr="00B94CBA">
        <w:rPr>
          <w:rFonts w:ascii="Arial" w:hAnsi="Arial" w:cs="Arial"/>
          <w:sz w:val="20"/>
          <w:szCs w:val="20"/>
          <w:lang w:val="es-ES"/>
        </w:rPr>
        <w:t>.</w:t>
      </w:r>
      <w:r w:rsidR="00391CD4" w:rsidRPr="00B94CBA">
        <w:rPr>
          <w:rFonts w:ascii="Arial" w:hAnsi="Arial" w:cs="Arial"/>
          <w:sz w:val="20"/>
          <w:szCs w:val="20"/>
          <w:lang w:val="es-ES"/>
        </w:rPr>
        <w:t xml:space="preserve"> M</w:t>
      </w:r>
      <w:r w:rsidRPr="00B94CBA">
        <w:rPr>
          <w:rFonts w:ascii="Arial" w:hAnsi="Arial" w:cs="Arial"/>
          <w:sz w:val="20"/>
          <w:szCs w:val="20"/>
          <w:lang w:val="es-ES"/>
        </w:rPr>
        <w:t>.</w:t>
      </w:r>
      <w:r w:rsidR="00391CD4" w:rsidRPr="00B94CBA">
        <w:rPr>
          <w:rFonts w:ascii="Arial" w:hAnsi="Arial" w:cs="Arial"/>
          <w:sz w:val="20"/>
          <w:szCs w:val="20"/>
          <w:lang w:val="es-ES"/>
        </w:rPr>
        <w:t>;</w:t>
      </w:r>
      <w:r w:rsidRPr="00B94CBA">
        <w:rPr>
          <w:rFonts w:ascii="Arial" w:hAnsi="Arial" w:cs="Arial"/>
          <w:sz w:val="20"/>
          <w:szCs w:val="20"/>
          <w:lang w:val="es-ES"/>
        </w:rPr>
        <w:t xml:space="preserve"> RODRÍGUEZ</w:t>
      </w:r>
      <w:r w:rsidR="00391CD4" w:rsidRPr="00B94CBA">
        <w:rPr>
          <w:rFonts w:ascii="Arial" w:hAnsi="Arial" w:cs="Arial"/>
          <w:sz w:val="20"/>
          <w:szCs w:val="20"/>
          <w:lang w:val="es-ES"/>
        </w:rPr>
        <w:t>, A</w:t>
      </w:r>
      <w:r w:rsidRPr="00B94CBA">
        <w:rPr>
          <w:rFonts w:ascii="Arial" w:hAnsi="Arial" w:cs="Arial"/>
          <w:sz w:val="20"/>
          <w:szCs w:val="20"/>
          <w:lang w:val="es-ES"/>
        </w:rPr>
        <w:t>.</w:t>
      </w:r>
      <w:r w:rsidR="00391CD4" w:rsidRPr="00B94CBA">
        <w:rPr>
          <w:rFonts w:ascii="Arial" w:hAnsi="Arial" w:cs="Arial"/>
          <w:sz w:val="20"/>
          <w:szCs w:val="20"/>
          <w:lang w:val="es-ES"/>
        </w:rPr>
        <w:t xml:space="preserve"> C. Ciudades leídas, ciudades contadas: La ciudad latinoamericana como escenario didáctico para La enseñanza de la geografía. </w:t>
      </w:r>
      <w:r w:rsidR="00391CD4" w:rsidRPr="00B94CBA">
        <w:rPr>
          <w:rFonts w:ascii="Arial" w:hAnsi="Arial" w:cs="Arial"/>
          <w:sz w:val="20"/>
          <w:szCs w:val="20"/>
        </w:rPr>
        <w:t xml:space="preserve">Bogotá: </w:t>
      </w:r>
      <w:proofErr w:type="spellStart"/>
      <w:r w:rsidR="00391CD4" w:rsidRPr="00B94CBA">
        <w:rPr>
          <w:rFonts w:ascii="Arial" w:hAnsi="Arial" w:cs="Arial"/>
          <w:sz w:val="20"/>
          <w:szCs w:val="20"/>
        </w:rPr>
        <w:t>Universidad</w:t>
      </w:r>
      <w:proofErr w:type="spellEnd"/>
      <w:r w:rsidR="00391CD4" w:rsidRPr="00B94CBA">
        <w:rPr>
          <w:rFonts w:ascii="Arial" w:hAnsi="Arial" w:cs="Arial"/>
          <w:sz w:val="20"/>
          <w:szCs w:val="20"/>
        </w:rPr>
        <w:t xml:space="preserve"> Distrital Francisco José de Caldas, 2011. </w:t>
      </w:r>
      <w:proofErr w:type="gramStart"/>
      <w:r w:rsidR="00391CD4" w:rsidRPr="00B94CBA">
        <w:rPr>
          <w:rFonts w:ascii="Arial" w:hAnsi="Arial" w:cs="Arial"/>
          <w:sz w:val="20"/>
          <w:szCs w:val="20"/>
        </w:rPr>
        <w:t>p.</w:t>
      </w:r>
      <w:proofErr w:type="gramEnd"/>
      <w:r w:rsidR="00391CD4" w:rsidRPr="00B94CBA">
        <w:rPr>
          <w:rFonts w:ascii="Arial" w:hAnsi="Arial" w:cs="Arial"/>
          <w:sz w:val="20"/>
          <w:szCs w:val="20"/>
        </w:rPr>
        <w:t xml:space="preserve"> 153-170.</w:t>
      </w:r>
    </w:p>
    <w:p w:rsidR="004940C4" w:rsidRPr="00B94CBA" w:rsidRDefault="004940C4" w:rsidP="008D7939">
      <w:pPr>
        <w:shd w:val="clear" w:color="auto" w:fill="FFFFFF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</w:rPr>
        <w:t xml:space="preserve">CASTELLAR, S. M. V. A cartografia e a construção do conhecimento em contexto escolar. In: ALMEIDA, R. </w:t>
      </w:r>
      <w:proofErr w:type="gramStart"/>
      <w:r w:rsidRPr="00B94CBA">
        <w:rPr>
          <w:rFonts w:ascii="Arial" w:hAnsi="Arial" w:cs="Arial"/>
          <w:sz w:val="20"/>
          <w:szCs w:val="20"/>
        </w:rPr>
        <w:t>D.</w:t>
      </w:r>
      <w:proofErr w:type="gramEnd"/>
      <w:r w:rsidRPr="00B94CBA">
        <w:rPr>
          <w:rFonts w:ascii="Arial" w:hAnsi="Arial" w:cs="Arial"/>
          <w:sz w:val="20"/>
          <w:szCs w:val="20"/>
        </w:rPr>
        <w:t xml:space="preserve"> (org.) Novos rumos da cartografia escolar: currículo, linguagem e tecnologia. São Paulo: Contexto, 2011.</w:t>
      </w:r>
    </w:p>
    <w:p w:rsidR="000E0AF6" w:rsidRPr="00B94CBA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</w:rPr>
        <w:t xml:space="preserve">FERNANDES, J. A. B. As atividades de campo. In: Você vê essa adaptação? A aula de campo em ciências entre o teórico e o empírico. São Paulo, 2007. Tese (Doutorado em Educação) - Faculdade de Educação, Universidade de São Paulo. </w:t>
      </w:r>
      <w:proofErr w:type="gramStart"/>
      <w:r w:rsidRPr="00B94CBA">
        <w:rPr>
          <w:rFonts w:ascii="Arial" w:hAnsi="Arial" w:cs="Arial"/>
          <w:sz w:val="20"/>
          <w:szCs w:val="20"/>
        </w:rPr>
        <w:t>p.</w:t>
      </w:r>
      <w:proofErr w:type="gramEnd"/>
      <w:r w:rsidRPr="00B94CBA">
        <w:rPr>
          <w:rFonts w:ascii="Arial" w:hAnsi="Arial" w:cs="Arial"/>
          <w:sz w:val="20"/>
          <w:szCs w:val="20"/>
        </w:rPr>
        <w:t xml:space="preserve"> 22-48.   </w:t>
      </w:r>
    </w:p>
    <w:p w:rsidR="000E0AF6" w:rsidRPr="00B94CBA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</w:rPr>
        <w:lastRenderedPageBreak/>
        <w:t xml:space="preserve">MARANDINO, M. </w:t>
      </w:r>
      <w:proofErr w:type="gramStart"/>
      <w:r w:rsidRPr="00B94CBA">
        <w:rPr>
          <w:rFonts w:ascii="Arial" w:hAnsi="Arial" w:cs="Arial"/>
          <w:sz w:val="20"/>
          <w:szCs w:val="20"/>
        </w:rPr>
        <w:t>et</w:t>
      </w:r>
      <w:proofErr w:type="gramEnd"/>
      <w:r w:rsidRPr="00B94CBA">
        <w:rPr>
          <w:rFonts w:ascii="Arial" w:hAnsi="Arial" w:cs="Arial"/>
          <w:sz w:val="20"/>
          <w:szCs w:val="20"/>
        </w:rPr>
        <w:t xml:space="preserve"> al. A mediação em foco. In: Educação em Museus: a mediação em foco. Grupo de Estudo e Pesquisa em Educação não formal e divulgação em Ciência – GEENF/ FEUSP, 2008. </w:t>
      </w:r>
      <w:proofErr w:type="gramStart"/>
      <w:r w:rsidRPr="00B94CBA">
        <w:rPr>
          <w:rFonts w:ascii="Arial" w:hAnsi="Arial" w:cs="Arial"/>
          <w:sz w:val="20"/>
          <w:szCs w:val="20"/>
        </w:rPr>
        <w:t>p.</w:t>
      </w:r>
      <w:proofErr w:type="gramEnd"/>
      <w:r w:rsidRPr="00B94CBA">
        <w:rPr>
          <w:rFonts w:ascii="Arial" w:hAnsi="Arial" w:cs="Arial"/>
          <w:sz w:val="20"/>
          <w:szCs w:val="20"/>
        </w:rPr>
        <w:t xml:space="preserve"> 21-23. Disponível em: http://www.geenf.fe.usp.br/publica. </w:t>
      </w:r>
      <w:proofErr w:type="spellStart"/>
      <w:proofErr w:type="gramStart"/>
      <w:r w:rsidRPr="00B94CBA">
        <w:rPr>
          <w:rFonts w:ascii="Arial" w:hAnsi="Arial" w:cs="Arial"/>
          <w:sz w:val="20"/>
          <w:szCs w:val="20"/>
        </w:rPr>
        <w:t>php</w:t>
      </w:r>
      <w:proofErr w:type="spellEnd"/>
      <w:proofErr w:type="gramEnd"/>
    </w:p>
    <w:p w:rsidR="009617D4" w:rsidRPr="00B94CBA" w:rsidRDefault="009617D4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</w:rPr>
        <w:t xml:space="preserve">MARANGONI, A. M. M. C. Questionários e entrevistas: algumas considerações. In: VENTURI, Luis Antonio </w:t>
      </w:r>
      <w:proofErr w:type="spellStart"/>
      <w:r w:rsidRPr="00B94CBA">
        <w:rPr>
          <w:rFonts w:ascii="Arial" w:hAnsi="Arial" w:cs="Arial"/>
          <w:sz w:val="20"/>
          <w:szCs w:val="20"/>
        </w:rPr>
        <w:t>Bittar</w:t>
      </w:r>
      <w:proofErr w:type="spellEnd"/>
      <w:r w:rsidRPr="00B94CBA">
        <w:rPr>
          <w:rFonts w:ascii="Arial" w:hAnsi="Arial" w:cs="Arial"/>
          <w:sz w:val="20"/>
          <w:szCs w:val="20"/>
        </w:rPr>
        <w:t xml:space="preserve">. Praticando geografia: técnicas de campo e laboratório. São Paulo: Oficina de Textos, 2009. </w:t>
      </w:r>
      <w:proofErr w:type="gramStart"/>
      <w:r w:rsidRPr="00B94CBA">
        <w:rPr>
          <w:rFonts w:ascii="Arial" w:hAnsi="Arial" w:cs="Arial"/>
          <w:sz w:val="20"/>
          <w:szCs w:val="20"/>
        </w:rPr>
        <w:t>p.</w:t>
      </w:r>
      <w:proofErr w:type="gramEnd"/>
      <w:r w:rsidRPr="00B94CBA">
        <w:rPr>
          <w:rFonts w:ascii="Arial" w:hAnsi="Arial" w:cs="Arial"/>
          <w:sz w:val="20"/>
          <w:szCs w:val="20"/>
        </w:rPr>
        <w:t>167-174.</w:t>
      </w:r>
    </w:p>
    <w:p w:rsidR="000E0AF6" w:rsidRPr="00B94CBA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</w:rPr>
        <w:t xml:space="preserve">TRILLA, J. A educação </w:t>
      </w:r>
      <w:proofErr w:type="gramStart"/>
      <w:r w:rsidRPr="00B94CBA">
        <w:rPr>
          <w:rFonts w:ascii="Arial" w:hAnsi="Arial" w:cs="Arial"/>
          <w:sz w:val="20"/>
          <w:szCs w:val="20"/>
        </w:rPr>
        <w:t>não-formal</w:t>
      </w:r>
      <w:proofErr w:type="gramEnd"/>
      <w:r w:rsidRPr="00B94CBA">
        <w:rPr>
          <w:rFonts w:ascii="Arial" w:hAnsi="Arial" w:cs="Arial"/>
          <w:sz w:val="20"/>
          <w:szCs w:val="20"/>
        </w:rPr>
        <w:t>. In: TRILLA, J</w:t>
      </w:r>
      <w:proofErr w:type="gramStart"/>
      <w:r w:rsidRPr="00B94CBA">
        <w:rPr>
          <w:rFonts w:ascii="Arial" w:hAnsi="Arial" w:cs="Arial"/>
          <w:sz w:val="20"/>
          <w:szCs w:val="20"/>
        </w:rPr>
        <w:t>.;</w:t>
      </w:r>
      <w:proofErr w:type="gramEnd"/>
      <w:r w:rsidRPr="00B94CBA">
        <w:rPr>
          <w:rFonts w:ascii="Arial" w:hAnsi="Arial" w:cs="Arial"/>
          <w:sz w:val="20"/>
          <w:szCs w:val="20"/>
        </w:rPr>
        <w:t xml:space="preserve"> GHANEM, E. Educação formal e </w:t>
      </w:r>
      <w:proofErr w:type="gramStart"/>
      <w:r w:rsidRPr="00B94CBA">
        <w:rPr>
          <w:rFonts w:ascii="Arial" w:hAnsi="Arial" w:cs="Arial"/>
          <w:sz w:val="20"/>
          <w:szCs w:val="20"/>
        </w:rPr>
        <w:t>não-formal</w:t>
      </w:r>
      <w:proofErr w:type="gramEnd"/>
      <w:r w:rsidRPr="00B94CBA">
        <w:rPr>
          <w:rFonts w:ascii="Arial" w:hAnsi="Arial" w:cs="Arial"/>
          <w:sz w:val="20"/>
          <w:szCs w:val="20"/>
        </w:rPr>
        <w:t xml:space="preserve">: pontos e contrapontos. São Paulo: </w:t>
      </w:r>
      <w:proofErr w:type="spellStart"/>
      <w:r w:rsidRPr="00B94CBA">
        <w:rPr>
          <w:rFonts w:ascii="Arial" w:hAnsi="Arial" w:cs="Arial"/>
          <w:sz w:val="20"/>
          <w:szCs w:val="20"/>
        </w:rPr>
        <w:t>Summus</w:t>
      </w:r>
      <w:proofErr w:type="spellEnd"/>
      <w:r w:rsidRPr="00B94CBA">
        <w:rPr>
          <w:rFonts w:ascii="Arial" w:hAnsi="Arial" w:cs="Arial"/>
          <w:sz w:val="20"/>
          <w:szCs w:val="20"/>
        </w:rPr>
        <w:t xml:space="preserve">, 2008. </w:t>
      </w:r>
      <w:proofErr w:type="gramStart"/>
      <w:r w:rsidRPr="00B94CBA">
        <w:rPr>
          <w:rFonts w:ascii="Arial" w:hAnsi="Arial" w:cs="Arial"/>
          <w:sz w:val="20"/>
          <w:szCs w:val="20"/>
        </w:rPr>
        <w:t>p.</w:t>
      </w:r>
      <w:proofErr w:type="gramEnd"/>
      <w:r w:rsidRPr="00B94CBA">
        <w:rPr>
          <w:rFonts w:ascii="Arial" w:hAnsi="Arial" w:cs="Arial"/>
          <w:sz w:val="20"/>
          <w:szCs w:val="20"/>
        </w:rPr>
        <w:t xml:space="preserve"> 15-58.</w:t>
      </w:r>
    </w:p>
    <w:p w:rsidR="004940C4" w:rsidRPr="00B94CBA" w:rsidRDefault="004940C4" w:rsidP="008D7939">
      <w:pPr>
        <w:pStyle w:val="Default"/>
        <w:spacing w:after="12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94CBA">
        <w:rPr>
          <w:rFonts w:ascii="Arial" w:hAnsi="Arial" w:cs="Arial"/>
          <w:bCs/>
          <w:color w:val="auto"/>
          <w:sz w:val="20"/>
          <w:szCs w:val="20"/>
        </w:rPr>
        <w:t>SUBSÍDIOS PARA A ELABORAÇÃO DA ENTREVISTA EM SÃO SEBASTIÃO. Informações compiladas do SEADE – Fundação Sistema Estadual de Análise de Dados (</w:t>
      </w:r>
      <w:hyperlink r:id="rId7" w:history="1">
        <w:r w:rsidRPr="00B94CBA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www.seade.gov.br/produtos/perfil/</w:t>
        </w:r>
      </w:hyperlink>
      <w:r w:rsidRPr="00B94CBA">
        <w:rPr>
          <w:rFonts w:ascii="Arial" w:hAnsi="Arial" w:cs="Arial"/>
          <w:bCs/>
          <w:color w:val="auto"/>
          <w:sz w:val="20"/>
          <w:szCs w:val="20"/>
        </w:rPr>
        <w:t xml:space="preserve"> - acesso em 24 de maio de 2012 às 14h)</w:t>
      </w:r>
    </w:p>
    <w:p w:rsidR="004940C4" w:rsidRPr="00273767" w:rsidRDefault="004940C4" w:rsidP="008D793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E0AF6" w:rsidRPr="00273767" w:rsidRDefault="000E0AF6" w:rsidP="008D7939">
      <w:pPr>
        <w:spacing w:after="12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273767">
        <w:rPr>
          <w:rFonts w:ascii="Arial" w:hAnsi="Arial" w:cs="Arial"/>
          <w:b/>
          <w:sz w:val="20"/>
          <w:szCs w:val="20"/>
          <w:lang w:val="es-ES"/>
        </w:rPr>
        <w:t>Bibliografia Complementar</w:t>
      </w:r>
    </w:p>
    <w:p w:rsidR="008D7939" w:rsidRPr="00273767" w:rsidRDefault="008D7939" w:rsidP="008D7939">
      <w:pPr>
        <w:spacing w:after="12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0E0AF6" w:rsidRPr="00B94CBA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273767">
        <w:rPr>
          <w:rFonts w:ascii="Arial" w:hAnsi="Arial" w:cs="Arial"/>
          <w:sz w:val="20"/>
          <w:szCs w:val="20"/>
          <w:lang w:val="es-ES"/>
        </w:rPr>
        <w:t xml:space="preserve">ALDEROQUI, S. Enseñar a pensar la ciudad. </w:t>
      </w:r>
      <w:r w:rsidRPr="00B94CBA">
        <w:rPr>
          <w:rFonts w:ascii="Arial" w:hAnsi="Arial" w:cs="Arial"/>
          <w:sz w:val="20"/>
          <w:szCs w:val="20"/>
          <w:lang w:val="es-ES"/>
        </w:rPr>
        <w:t xml:space="preserve">In: ALDEROQUI, S.; PENCHANSCKY, P. Ciudad y ciudadanos: aportes para la enseñanza del mundo urbano. Buenos Aires: </w:t>
      </w:r>
      <w:proofErr w:type="spellStart"/>
      <w:r w:rsidRPr="00B94CBA">
        <w:rPr>
          <w:rFonts w:ascii="Arial" w:hAnsi="Arial" w:cs="Arial"/>
          <w:sz w:val="20"/>
          <w:szCs w:val="20"/>
          <w:lang w:val="es-ES"/>
        </w:rPr>
        <w:t>Paidós</w:t>
      </w:r>
      <w:proofErr w:type="spellEnd"/>
      <w:r w:rsidRPr="00B94CBA">
        <w:rPr>
          <w:rFonts w:ascii="Arial" w:hAnsi="Arial" w:cs="Arial"/>
          <w:sz w:val="20"/>
          <w:szCs w:val="20"/>
          <w:lang w:val="es-ES"/>
        </w:rPr>
        <w:t xml:space="preserve">, 2002. p. 33-66. </w:t>
      </w:r>
    </w:p>
    <w:p w:rsidR="000E0AF6" w:rsidRPr="00B94CBA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B94CBA">
        <w:rPr>
          <w:rFonts w:ascii="Arial" w:hAnsi="Arial" w:cs="Arial"/>
          <w:sz w:val="20"/>
          <w:szCs w:val="20"/>
          <w:lang w:val="es-ES"/>
        </w:rPr>
        <w:t xml:space="preserve">ALDEROQUI, S. Museo y escuela: una sociedad posible (entre prólogo y artículo). In: Museos y escuelas: </w:t>
      </w:r>
      <w:proofErr w:type="spellStart"/>
      <w:r w:rsidRPr="00B94CBA">
        <w:rPr>
          <w:rFonts w:ascii="Arial" w:hAnsi="Arial" w:cs="Arial"/>
          <w:sz w:val="20"/>
          <w:szCs w:val="20"/>
          <w:lang w:val="es-ES"/>
        </w:rPr>
        <w:t>sócios</w:t>
      </w:r>
      <w:proofErr w:type="spellEnd"/>
      <w:r w:rsidRPr="00B94CBA">
        <w:rPr>
          <w:rFonts w:ascii="Arial" w:hAnsi="Arial" w:cs="Arial"/>
          <w:sz w:val="20"/>
          <w:szCs w:val="20"/>
          <w:lang w:val="es-ES"/>
        </w:rPr>
        <w:t xml:space="preserve"> para educar. Buenos Aires: </w:t>
      </w:r>
      <w:proofErr w:type="spellStart"/>
      <w:r w:rsidRPr="00B94CBA">
        <w:rPr>
          <w:rFonts w:ascii="Arial" w:hAnsi="Arial" w:cs="Arial"/>
          <w:sz w:val="20"/>
          <w:szCs w:val="20"/>
          <w:lang w:val="es-ES"/>
        </w:rPr>
        <w:t>Paidós</w:t>
      </w:r>
      <w:proofErr w:type="spellEnd"/>
      <w:r w:rsidRPr="00B94CBA">
        <w:rPr>
          <w:rFonts w:ascii="Arial" w:hAnsi="Arial" w:cs="Arial"/>
          <w:sz w:val="20"/>
          <w:szCs w:val="20"/>
          <w:lang w:val="es-ES"/>
        </w:rPr>
        <w:t>, 1996. p. 29-43.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CASTELLAR, S.; VILHENA, J</w:t>
      </w:r>
      <w:proofErr w:type="gramStart"/>
      <w:r w:rsidRPr="00273767">
        <w:rPr>
          <w:rFonts w:ascii="Arial" w:hAnsi="Arial" w:cs="Arial"/>
          <w:sz w:val="20"/>
          <w:szCs w:val="20"/>
        </w:rPr>
        <w:t>.;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OZÓRIO, A. O significado da construção dos conceitos. In: CASTELLAR, S.; VILHENA, J. Ensino de Geografia. São Paulo: </w:t>
      </w:r>
      <w:proofErr w:type="spellStart"/>
      <w:r w:rsidRPr="00273767">
        <w:rPr>
          <w:rFonts w:ascii="Arial" w:hAnsi="Arial" w:cs="Arial"/>
          <w:sz w:val="20"/>
          <w:szCs w:val="20"/>
        </w:rPr>
        <w:t>Cengage</w:t>
      </w:r>
      <w:proofErr w:type="spellEnd"/>
      <w:r w:rsidRPr="002737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3767">
        <w:rPr>
          <w:rFonts w:ascii="Arial" w:hAnsi="Arial" w:cs="Arial"/>
          <w:sz w:val="20"/>
          <w:szCs w:val="20"/>
        </w:rPr>
        <w:t>Learning</w:t>
      </w:r>
      <w:proofErr w:type="spellEnd"/>
      <w:r w:rsidRPr="00273767">
        <w:rPr>
          <w:rFonts w:ascii="Arial" w:hAnsi="Arial" w:cs="Arial"/>
          <w:sz w:val="20"/>
          <w:szCs w:val="20"/>
        </w:rPr>
        <w:t xml:space="preserve">, 2010. </w:t>
      </w:r>
      <w:r w:rsidR="00C87FCA">
        <w:rPr>
          <w:rFonts w:ascii="Arial" w:hAnsi="Arial" w:cs="Arial"/>
          <w:sz w:val="20"/>
          <w:szCs w:val="20"/>
        </w:rPr>
        <w:t xml:space="preserve">Cap. 5, </w:t>
      </w:r>
      <w:r w:rsidRPr="00273767">
        <w:rPr>
          <w:rFonts w:ascii="Arial" w:hAnsi="Arial" w:cs="Arial"/>
          <w:sz w:val="20"/>
          <w:szCs w:val="20"/>
        </w:rPr>
        <w:t>p. 99-118.</w:t>
      </w:r>
    </w:p>
    <w:p w:rsidR="000E0AF6" w:rsidRPr="00C3440C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CASTELLAR, S.; VILHENA, J</w:t>
      </w:r>
      <w:proofErr w:type="gramStart"/>
      <w:r w:rsidRPr="00273767">
        <w:rPr>
          <w:rFonts w:ascii="Arial" w:hAnsi="Arial" w:cs="Arial"/>
          <w:sz w:val="20"/>
          <w:szCs w:val="20"/>
        </w:rPr>
        <w:t>.;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Trabalhando com um projeto educativo sobre a cidade. </w:t>
      </w:r>
      <w:r w:rsidRPr="00C3440C">
        <w:rPr>
          <w:rFonts w:ascii="Arial" w:hAnsi="Arial" w:cs="Arial"/>
          <w:sz w:val="20"/>
          <w:szCs w:val="20"/>
        </w:rPr>
        <w:t>In:</w:t>
      </w:r>
      <w:r w:rsidR="00C3440C" w:rsidRPr="00C3440C">
        <w:rPr>
          <w:rFonts w:ascii="Arial" w:hAnsi="Arial" w:cs="Arial"/>
          <w:sz w:val="20"/>
          <w:szCs w:val="20"/>
        </w:rPr>
        <w:t xml:space="preserve"> </w:t>
      </w:r>
      <w:r w:rsidR="00C3440C" w:rsidRPr="00273767">
        <w:rPr>
          <w:rFonts w:ascii="Arial" w:hAnsi="Arial" w:cs="Arial"/>
          <w:sz w:val="20"/>
          <w:szCs w:val="20"/>
        </w:rPr>
        <w:t xml:space="preserve">CASTELLAR, S.; VILHENA, J. </w:t>
      </w:r>
      <w:r w:rsidRPr="00C3440C">
        <w:rPr>
          <w:rFonts w:ascii="Arial" w:hAnsi="Arial" w:cs="Arial"/>
          <w:sz w:val="20"/>
          <w:szCs w:val="20"/>
        </w:rPr>
        <w:t xml:space="preserve">Ensino de Geografia. São Paulo: </w:t>
      </w:r>
      <w:proofErr w:type="spellStart"/>
      <w:r w:rsidRPr="00C3440C">
        <w:rPr>
          <w:rFonts w:ascii="Arial" w:hAnsi="Arial" w:cs="Arial"/>
          <w:sz w:val="20"/>
          <w:szCs w:val="20"/>
        </w:rPr>
        <w:t>Cengage</w:t>
      </w:r>
      <w:proofErr w:type="spellEnd"/>
      <w:r w:rsidRPr="00C344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440C">
        <w:rPr>
          <w:rFonts w:ascii="Arial" w:hAnsi="Arial" w:cs="Arial"/>
          <w:sz w:val="20"/>
          <w:szCs w:val="20"/>
        </w:rPr>
        <w:t>Learning</w:t>
      </w:r>
      <w:proofErr w:type="spellEnd"/>
      <w:r w:rsidRPr="00C3440C">
        <w:rPr>
          <w:rFonts w:ascii="Arial" w:hAnsi="Arial" w:cs="Arial"/>
          <w:sz w:val="20"/>
          <w:szCs w:val="20"/>
        </w:rPr>
        <w:t xml:space="preserve">, 2010. </w:t>
      </w:r>
      <w:r w:rsidR="00C87FCA">
        <w:rPr>
          <w:rFonts w:ascii="Arial" w:hAnsi="Arial" w:cs="Arial"/>
          <w:sz w:val="20"/>
          <w:szCs w:val="20"/>
        </w:rPr>
        <w:t xml:space="preserve">Cap. 6, </w:t>
      </w:r>
      <w:r w:rsidRPr="00C3440C">
        <w:rPr>
          <w:rFonts w:ascii="Arial" w:hAnsi="Arial" w:cs="Arial"/>
          <w:sz w:val="20"/>
          <w:szCs w:val="20"/>
        </w:rPr>
        <w:t xml:space="preserve">p. </w:t>
      </w:r>
      <w:r w:rsidR="00C3440C" w:rsidRPr="00C3440C">
        <w:rPr>
          <w:rFonts w:ascii="Arial" w:hAnsi="Arial" w:cs="Arial"/>
          <w:sz w:val="20"/>
          <w:szCs w:val="20"/>
        </w:rPr>
        <w:t>119-</w:t>
      </w:r>
      <w:r w:rsidR="00C3440C">
        <w:rPr>
          <w:rFonts w:ascii="Arial" w:hAnsi="Arial" w:cs="Arial"/>
          <w:sz w:val="20"/>
          <w:szCs w:val="20"/>
        </w:rPr>
        <w:t>136</w:t>
      </w:r>
      <w:r w:rsidRPr="00C3440C">
        <w:rPr>
          <w:rFonts w:ascii="Arial" w:hAnsi="Arial" w:cs="Arial"/>
          <w:sz w:val="20"/>
          <w:szCs w:val="20"/>
        </w:rPr>
        <w:t>.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4CBA">
        <w:rPr>
          <w:rFonts w:ascii="Arial" w:hAnsi="Arial" w:cs="Arial"/>
          <w:sz w:val="20"/>
          <w:szCs w:val="20"/>
          <w:lang w:val="es-ES"/>
        </w:rPr>
        <w:t xml:space="preserve">GÓMEZ-GRANELL, C.; VILA, I. Introducción. In: La ciudad como proyecto educativo. </w:t>
      </w:r>
      <w:r w:rsidRPr="00273767">
        <w:rPr>
          <w:rFonts w:ascii="Arial" w:hAnsi="Arial" w:cs="Arial"/>
          <w:sz w:val="20"/>
          <w:szCs w:val="20"/>
        </w:rPr>
        <w:t xml:space="preserve">Barcelona: Octaedro, 2001. </w:t>
      </w:r>
      <w:proofErr w:type="gramStart"/>
      <w:r w:rsidRPr="00273767">
        <w:rPr>
          <w:rFonts w:ascii="Arial" w:hAnsi="Arial" w:cs="Arial"/>
          <w:sz w:val="20"/>
          <w:szCs w:val="20"/>
        </w:rPr>
        <w:t>p.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11-32.</w:t>
      </w:r>
    </w:p>
    <w:p w:rsidR="008D7939" w:rsidRPr="00273767" w:rsidRDefault="000E0AF6" w:rsidP="008D793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MARANDINO, M. </w:t>
      </w:r>
      <w:proofErr w:type="gramStart"/>
      <w:r w:rsidRPr="00273767">
        <w:rPr>
          <w:rFonts w:ascii="Arial" w:hAnsi="Arial" w:cs="Arial"/>
          <w:sz w:val="20"/>
          <w:szCs w:val="20"/>
        </w:rPr>
        <w:t>et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al. Memória da Biologia na Cidade de São Paulo: Guia Didático. São Paulo: FEUSP, 2004. </w:t>
      </w:r>
    </w:p>
    <w:p w:rsidR="000E0AF6" w:rsidRPr="00273767" w:rsidRDefault="008D7939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     </w:t>
      </w:r>
      <w:r w:rsidR="000E0AF6" w:rsidRPr="00273767">
        <w:rPr>
          <w:rFonts w:ascii="Arial" w:hAnsi="Arial" w:cs="Arial"/>
          <w:sz w:val="20"/>
          <w:szCs w:val="20"/>
        </w:rPr>
        <w:t>Disponível em: http://www.geenf.fe.usp.br/conteudo/arquivo/MemoriadaBiologia.PDF</w:t>
      </w:r>
    </w:p>
    <w:p w:rsidR="008D7939" w:rsidRPr="00273767" w:rsidRDefault="000E0AF6" w:rsidP="008D793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MARANDINO, M. Interfaces na relação Museu-Escola. Caderno Catarinense de Ensino de Física. </w:t>
      </w:r>
      <w:proofErr w:type="gramStart"/>
      <w:r w:rsidRPr="00273767">
        <w:rPr>
          <w:rFonts w:ascii="Arial" w:hAnsi="Arial" w:cs="Arial"/>
          <w:sz w:val="20"/>
          <w:szCs w:val="20"/>
        </w:rPr>
        <w:t>v.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8, n. 1, p. 85-100, abr. 2001. </w:t>
      </w:r>
    </w:p>
    <w:p w:rsidR="000E0AF6" w:rsidRPr="00273767" w:rsidRDefault="008D7939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     </w:t>
      </w:r>
      <w:r w:rsidR="000E0AF6" w:rsidRPr="00273767">
        <w:rPr>
          <w:rFonts w:ascii="Arial" w:hAnsi="Arial" w:cs="Arial"/>
          <w:sz w:val="20"/>
          <w:szCs w:val="20"/>
        </w:rPr>
        <w:t xml:space="preserve">Disponível em: </w:t>
      </w:r>
      <w:proofErr w:type="gramStart"/>
      <w:r w:rsidR="000E0AF6" w:rsidRPr="00273767">
        <w:rPr>
          <w:rFonts w:ascii="Arial" w:hAnsi="Arial" w:cs="Arial"/>
          <w:sz w:val="20"/>
          <w:szCs w:val="20"/>
        </w:rPr>
        <w:t>http://www.periodicos.ufsc.br/index.</w:t>
      </w:r>
      <w:proofErr w:type="gramEnd"/>
      <w:r w:rsidR="000E0AF6" w:rsidRPr="00273767">
        <w:rPr>
          <w:rFonts w:ascii="Arial" w:hAnsi="Arial" w:cs="Arial"/>
          <w:sz w:val="20"/>
          <w:szCs w:val="20"/>
        </w:rPr>
        <w:t>php/fisica/article/view/6692/6159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MARANDINO, M. Museu e Escola: Parceiros na Educação Científica do Cidadão. In: CANDAU, V. M. F. (Org.). Reinventar a Escola. Petrópolis: Vozes, 2005. </w:t>
      </w:r>
      <w:proofErr w:type="gramStart"/>
      <w:r w:rsidRPr="00273767">
        <w:rPr>
          <w:rFonts w:ascii="Arial" w:hAnsi="Arial" w:cs="Arial"/>
          <w:sz w:val="20"/>
          <w:szCs w:val="20"/>
        </w:rPr>
        <w:t>p.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189-220.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MARANDINO, M. Ação educativa, aprendizagem e mediação nas visitas aos museus. In: MASSARANI, L. (Ed.). Workshop Sul-Americano e Escola de Mediadores em Museus e Centros de Cultura. 2008. </w:t>
      </w:r>
      <w:proofErr w:type="gramStart"/>
      <w:r w:rsidRPr="00273767">
        <w:rPr>
          <w:rFonts w:ascii="Arial" w:hAnsi="Arial" w:cs="Arial"/>
          <w:sz w:val="20"/>
          <w:szCs w:val="20"/>
        </w:rPr>
        <w:t>p.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21-27.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>MARANDINO, M.; SELLES, S. E</w:t>
      </w:r>
      <w:proofErr w:type="gramStart"/>
      <w:r w:rsidRPr="00273767">
        <w:rPr>
          <w:rFonts w:ascii="Arial" w:hAnsi="Arial" w:cs="Arial"/>
          <w:sz w:val="20"/>
          <w:szCs w:val="20"/>
        </w:rPr>
        <w:t>.;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FERREIRA, M. S. Atividades de campo</w:t>
      </w:r>
      <w:r w:rsidR="009B4F54">
        <w:rPr>
          <w:rFonts w:ascii="Arial" w:hAnsi="Arial" w:cs="Arial"/>
          <w:sz w:val="20"/>
          <w:szCs w:val="20"/>
        </w:rPr>
        <w:t xml:space="preserve"> e o ensino de biologia</w:t>
      </w:r>
      <w:r w:rsidRPr="00273767">
        <w:rPr>
          <w:rFonts w:ascii="Arial" w:hAnsi="Arial" w:cs="Arial"/>
          <w:sz w:val="20"/>
          <w:szCs w:val="20"/>
        </w:rPr>
        <w:t>. In: Ensino de Biologia: histórias e práticas em diferentes espaços educativos.</w:t>
      </w:r>
      <w:r w:rsidR="009B4F54">
        <w:rPr>
          <w:rFonts w:ascii="Arial" w:hAnsi="Arial" w:cs="Arial"/>
          <w:sz w:val="20"/>
          <w:szCs w:val="20"/>
        </w:rPr>
        <w:t xml:space="preserve"> São Paulo: Cortez, 2009. </w:t>
      </w:r>
      <w:proofErr w:type="gramStart"/>
      <w:r w:rsidR="009B4F54">
        <w:rPr>
          <w:rFonts w:ascii="Arial" w:hAnsi="Arial" w:cs="Arial"/>
          <w:sz w:val="20"/>
          <w:szCs w:val="20"/>
        </w:rPr>
        <w:t>p.</w:t>
      </w:r>
      <w:proofErr w:type="gramEnd"/>
      <w:r w:rsidR="009B4F54">
        <w:rPr>
          <w:rFonts w:ascii="Arial" w:hAnsi="Arial" w:cs="Arial"/>
          <w:sz w:val="20"/>
          <w:szCs w:val="20"/>
        </w:rPr>
        <w:t xml:space="preserve"> 139</w:t>
      </w:r>
      <w:r w:rsidRPr="00273767">
        <w:rPr>
          <w:rFonts w:ascii="Arial" w:hAnsi="Arial" w:cs="Arial"/>
          <w:sz w:val="20"/>
          <w:szCs w:val="20"/>
        </w:rPr>
        <w:t>-1</w:t>
      </w:r>
      <w:r w:rsidR="009B4F54">
        <w:rPr>
          <w:rFonts w:ascii="Arial" w:hAnsi="Arial" w:cs="Arial"/>
          <w:sz w:val="20"/>
          <w:szCs w:val="20"/>
        </w:rPr>
        <w:t>50</w:t>
      </w:r>
      <w:r w:rsidRPr="00273767">
        <w:rPr>
          <w:rFonts w:ascii="Arial" w:hAnsi="Arial" w:cs="Arial"/>
          <w:sz w:val="20"/>
          <w:szCs w:val="20"/>
        </w:rPr>
        <w:t>.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MARANDINO, M.; MARTINS, L. C. Um dia no museu: a ação educativa vista através de uma visita. In: MASSARANI, L. (Org.) O pequeno cientista amador: a divulgação científica e o público infantil. Rio de Janeiro: Vieira &amp; </w:t>
      </w:r>
      <w:proofErr w:type="spellStart"/>
      <w:r w:rsidRPr="00273767">
        <w:rPr>
          <w:rFonts w:ascii="Arial" w:hAnsi="Arial" w:cs="Arial"/>
          <w:sz w:val="20"/>
          <w:szCs w:val="20"/>
        </w:rPr>
        <w:t>Lent</w:t>
      </w:r>
      <w:proofErr w:type="spellEnd"/>
      <w:r w:rsidRPr="00273767">
        <w:rPr>
          <w:rFonts w:ascii="Arial" w:hAnsi="Arial" w:cs="Arial"/>
          <w:sz w:val="20"/>
          <w:szCs w:val="20"/>
        </w:rPr>
        <w:t xml:space="preserve">: UFRJ, Casa da Ciência: FIOCRUZ, 2005. </w:t>
      </w:r>
      <w:proofErr w:type="gramStart"/>
      <w:r w:rsidRPr="00273767">
        <w:rPr>
          <w:rFonts w:ascii="Arial" w:hAnsi="Arial" w:cs="Arial"/>
          <w:sz w:val="20"/>
          <w:szCs w:val="20"/>
        </w:rPr>
        <w:t>p.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77-84.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MONBEIG, P. Papel e Valor do Ensino da Geografia e de sua Pesquisa. </w:t>
      </w:r>
      <w:proofErr w:type="gramStart"/>
      <w:r w:rsidRPr="00273767">
        <w:rPr>
          <w:rFonts w:ascii="Arial" w:hAnsi="Arial" w:cs="Arial"/>
          <w:sz w:val="20"/>
          <w:szCs w:val="20"/>
        </w:rPr>
        <w:t>Revista Tamoios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73767">
        <w:rPr>
          <w:rFonts w:ascii="Arial" w:hAnsi="Arial" w:cs="Arial"/>
          <w:sz w:val="20"/>
          <w:szCs w:val="20"/>
        </w:rPr>
        <w:t>v.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2, n. 2, 2006. Disponível em: http://www.ffp.uerj.br/tamoios/Monbeing.pdf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PONTUSCHKA, N. N. O conceito de Estudo de meio transforma-se... </w:t>
      </w:r>
      <w:proofErr w:type="gramStart"/>
      <w:r w:rsidRPr="00273767">
        <w:rPr>
          <w:rFonts w:ascii="Arial" w:hAnsi="Arial" w:cs="Arial"/>
          <w:sz w:val="20"/>
          <w:szCs w:val="20"/>
        </w:rPr>
        <w:t>em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tempos diferentes, em escolas diferentes, com professores diferentes. In: VESENTINI, J. W. O ensino de Geografia no século XXI. Campinas: </w:t>
      </w:r>
      <w:proofErr w:type="spellStart"/>
      <w:r w:rsidRPr="00273767">
        <w:rPr>
          <w:rFonts w:ascii="Arial" w:hAnsi="Arial" w:cs="Arial"/>
          <w:sz w:val="20"/>
          <w:szCs w:val="20"/>
        </w:rPr>
        <w:t>Papirus</w:t>
      </w:r>
      <w:proofErr w:type="spellEnd"/>
      <w:r w:rsidRPr="00273767">
        <w:rPr>
          <w:rFonts w:ascii="Arial" w:hAnsi="Arial" w:cs="Arial"/>
          <w:sz w:val="20"/>
          <w:szCs w:val="20"/>
        </w:rPr>
        <w:t xml:space="preserve">, 2004. </w:t>
      </w:r>
      <w:proofErr w:type="gramStart"/>
      <w:r w:rsidRPr="00273767">
        <w:rPr>
          <w:rFonts w:ascii="Arial" w:hAnsi="Arial" w:cs="Arial"/>
          <w:sz w:val="20"/>
          <w:szCs w:val="20"/>
        </w:rPr>
        <w:t>p.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249-268.</w:t>
      </w:r>
    </w:p>
    <w:p w:rsidR="000E0AF6" w:rsidRPr="00273767" w:rsidRDefault="000E0AF6" w:rsidP="008D793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0E0AF6" w:rsidRPr="00273767" w:rsidRDefault="000E0AF6" w:rsidP="008D7939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3767">
        <w:rPr>
          <w:rFonts w:ascii="Arial" w:hAnsi="Arial" w:cs="Arial"/>
          <w:sz w:val="20"/>
          <w:szCs w:val="20"/>
          <w:u w:val="single"/>
        </w:rPr>
        <w:t xml:space="preserve">As duas referências a seguir não estão disponíveis na página da disciplina no </w:t>
      </w:r>
      <w:proofErr w:type="spellStart"/>
      <w:r w:rsidRPr="00273767">
        <w:rPr>
          <w:rFonts w:ascii="Arial" w:hAnsi="Arial" w:cs="Arial"/>
          <w:sz w:val="20"/>
          <w:szCs w:val="20"/>
          <w:u w:val="single"/>
        </w:rPr>
        <w:t>Moodle</w:t>
      </w:r>
      <w:proofErr w:type="spellEnd"/>
      <w:r w:rsidRPr="00273767">
        <w:rPr>
          <w:rFonts w:ascii="Arial" w:hAnsi="Arial" w:cs="Arial"/>
          <w:sz w:val="20"/>
          <w:szCs w:val="20"/>
          <w:u w:val="single"/>
        </w:rPr>
        <w:t xml:space="preserve"> porque são livros inteiros: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GOHN, M. da G. Educação </w:t>
      </w:r>
      <w:proofErr w:type="gramStart"/>
      <w:r w:rsidRPr="00273767">
        <w:rPr>
          <w:rFonts w:ascii="Arial" w:hAnsi="Arial" w:cs="Arial"/>
          <w:sz w:val="20"/>
          <w:szCs w:val="20"/>
        </w:rPr>
        <w:t>não-formal</w:t>
      </w:r>
      <w:proofErr w:type="gramEnd"/>
      <w:r w:rsidRPr="00273767">
        <w:rPr>
          <w:rFonts w:ascii="Arial" w:hAnsi="Arial" w:cs="Arial"/>
          <w:sz w:val="20"/>
          <w:szCs w:val="20"/>
        </w:rPr>
        <w:t xml:space="preserve"> e Cultura Política: impactos sobre o associativismo do terceiro setor. São Paulo: Cortez, 1999.</w:t>
      </w:r>
    </w:p>
    <w:p w:rsidR="000E0AF6" w:rsidRPr="00273767" w:rsidRDefault="000E0AF6" w:rsidP="008D793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3767">
        <w:rPr>
          <w:rFonts w:ascii="Arial" w:hAnsi="Arial" w:cs="Arial"/>
          <w:sz w:val="20"/>
          <w:szCs w:val="20"/>
        </w:rPr>
        <w:t xml:space="preserve">MURTA, S. M.; ALBANO, C. Interpretar o Patrimônio – um exercício de olhar. Belo Horizonte: Editora UFMG/ Território </w:t>
      </w:r>
      <w:proofErr w:type="spellStart"/>
      <w:r w:rsidRPr="00273767">
        <w:rPr>
          <w:rFonts w:ascii="Arial" w:hAnsi="Arial" w:cs="Arial"/>
          <w:sz w:val="20"/>
          <w:szCs w:val="20"/>
        </w:rPr>
        <w:t>Brasilis</w:t>
      </w:r>
      <w:proofErr w:type="spellEnd"/>
      <w:r w:rsidRPr="00273767">
        <w:rPr>
          <w:rFonts w:ascii="Arial" w:hAnsi="Arial" w:cs="Arial"/>
          <w:sz w:val="20"/>
          <w:szCs w:val="20"/>
        </w:rPr>
        <w:t>, 2002.</w:t>
      </w:r>
    </w:p>
    <w:sectPr w:rsidR="000E0AF6" w:rsidRPr="00273767" w:rsidSect="00EF2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637"/>
    <w:multiLevelType w:val="hybridMultilevel"/>
    <w:tmpl w:val="35F692A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B4AE1"/>
    <w:multiLevelType w:val="hybridMultilevel"/>
    <w:tmpl w:val="9AC03F36"/>
    <w:lvl w:ilvl="0" w:tplc="04090001">
      <w:start w:val="1"/>
      <w:numFmt w:val="lowerLetter"/>
      <w:lvlText w:val="%1."/>
      <w:lvlJc w:val="left"/>
      <w:pPr>
        <w:ind w:left="1070" w:hanging="360"/>
      </w:p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0507960"/>
    <w:multiLevelType w:val="hybridMultilevel"/>
    <w:tmpl w:val="35F692A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762E7"/>
    <w:multiLevelType w:val="multilevel"/>
    <w:tmpl w:val="2ACEA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60C18CF"/>
    <w:multiLevelType w:val="hybridMultilevel"/>
    <w:tmpl w:val="68A4EF60"/>
    <w:lvl w:ilvl="0" w:tplc="04090011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hyphenationZone w:val="425"/>
  <w:characterSpacingControl w:val="doNotCompress"/>
  <w:compat/>
  <w:rsids>
    <w:rsidRoot w:val="00793586"/>
    <w:rsid w:val="0006264E"/>
    <w:rsid w:val="000E0AF6"/>
    <w:rsid w:val="000F4E66"/>
    <w:rsid w:val="0018582A"/>
    <w:rsid w:val="001C4840"/>
    <w:rsid w:val="001F44AB"/>
    <w:rsid w:val="00273767"/>
    <w:rsid w:val="002B1067"/>
    <w:rsid w:val="00323BE8"/>
    <w:rsid w:val="00391CD4"/>
    <w:rsid w:val="004940C4"/>
    <w:rsid w:val="004D12DD"/>
    <w:rsid w:val="005D0E7E"/>
    <w:rsid w:val="005E72C8"/>
    <w:rsid w:val="0074482E"/>
    <w:rsid w:val="00793586"/>
    <w:rsid w:val="007D6881"/>
    <w:rsid w:val="00840E1B"/>
    <w:rsid w:val="00854017"/>
    <w:rsid w:val="008D7939"/>
    <w:rsid w:val="008E1235"/>
    <w:rsid w:val="008E3AF4"/>
    <w:rsid w:val="00947EFE"/>
    <w:rsid w:val="009617D4"/>
    <w:rsid w:val="009B4F54"/>
    <w:rsid w:val="00A15EFC"/>
    <w:rsid w:val="00A228C5"/>
    <w:rsid w:val="00AD6658"/>
    <w:rsid w:val="00B94CBA"/>
    <w:rsid w:val="00BA6150"/>
    <w:rsid w:val="00C25008"/>
    <w:rsid w:val="00C3440C"/>
    <w:rsid w:val="00C75DD5"/>
    <w:rsid w:val="00C87FCA"/>
    <w:rsid w:val="00CF281F"/>
    <w:rsid w:val="00D05C7E"/>
    <w:rsid w:val="00D73390"/>
    <w:rsid w:val="00DF32DA"/>
    <w:rsid w:val="00E24577"/>
    <w:rsid w:val="00E61040"/>
    <w:rsid w:val="00E93A12"/>
    <w:rsid w:val="00EF2F80"/>
    <w:rsid w:val="00F5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3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0AF6"/>
    <w:pPr>
      <w:ind w:left="720"/>
      <w:contextualSpacing/>
    </w:pPr>
  </w:style>
  <w:style w:type="character" w:customStyle="1" w:styleId="a">
    <w:name w:val="a"/>
    <w:basedOn w:val="Fontepargpadro"/>
    <w:rsid w:val="004940C4"/>
  </w:style>
  <w:style w:type="character" w:customStyle="1" w:styleId="apple-converted-space">
    <w:name w:val="apple-converted-space"/>
    <w:basedOn w:val="Fontepargpadro"/>
    <w:rsid w:val="004940C4"/>
  </w:style>
  <w:style w:type="paragraph" w:customStyle="1" w:styleId="Default">
    <w:name w:val="Default"/>
    <w:rsid w:val="004940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40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0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ade.gov.br/produtos/perf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1DB54-6F40-4E90-81BC-DD946424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Usuario</cp:lastModifiedBy>
  <cp:revision>2</cp:revision>
  <dcterms:created xsi:type="dcterms:W3CDTF">2013-04-26T17:23:00Z</dcterms:created>
  <dcterms:modified xsi:type="dcterms:W3CDTF">2013-04-26T17:23:00Z</dcterms:modified>
</cp:coreProperties>
</file>