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644597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DE7A4C" w:rsidRPr="002A1536" w:rsidRDefault="00DE7A4C" w:rsidP="00B502CB">
                    <w:pPr>
                      <w:pStyle w:val="Header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DE7A4C" w:rsidRDefault="00DE7A4C" w:rsidP="00B502CB">
                    <w:pPr>
                      <w:pStyle w:val="Heading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DE7A4C" w:rsidRDefault="00DE7A4C" w:rsidP="007327FF">
                    <w:pPr>
                      <w:rPr>
                        <w:lang w:val="x-none" w:eastAsia="pt-BR"/>
                      </w:rPr>
                    </w:pPr>
                  </w:p>
                  <w:p w:rsidR="00DE7A4C" w:rsidRDefault="00DE7A4C" w:rsidP="007327FF">
                    <w:pPr>
                      <w:rPr>
                        <w:lang w:val="x-none" w:eastAsia="pt-BR"/>
                      </w:rPr>
                    </w:pPr>
                  </w:p>
                  <w:p w:rsidR="00DE7A4C" w:rsidRPr="007327FF" w:rsidRDefault="00DE7A4C" w:rsidP="007327FF">
                    <w:pPr>
                      <w:rPr>
                        <w:lang w:val="pt-BR" w:eastAsia="pt-BR"/>
                      </w:rPr>
                    </w:pPr>
                  </w:p>
                  <w:p w:rsidR="00DE7A4C" w:rsidRPr="007327FF" w:rsidRDefault="00DE7A4C" w:rsidP="007327FF">
                    <w:pPr>
                      <w:rPr>
                        <w:lang w:val="x-none" w:eastAsia="pt-BR"/>
                      </w:rPr>
                    </w:pPr>
                  </w:p>
                  <w:p w:rsidR="00DE7A4C" w:rsidRPr="007327FF" w:rsidRDefault="00DE7A4C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DE7A4C" w:rsidRPr="007327FF" w:rsidRDefault="00DE7A4C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16318745" r:id="rId9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 w:rsidR="00E663C0">
        <w:rPr>
          <w:rFonts w:cs="Arial"/>
          <w:b/>
          <w:bCs/>
          <w:lang w:val="pt-BR"/>
        </w:rPr>
        <w:t xml:space="preserve"> / 2019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327FF" w:rsidRDefault="007327FF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611D26" w:rsidRPr="005E01A2" w:rsidRDefault="00611D26" w:rsidP="005E01A2">
      <w:pPr>
        <w:spacing w:after="0" w:line="240" w:lineRule="auto"/>
        <w:jc w:val="both"/>
        <w:outlineLvl w:val="0"/>
        <w:rPr>
          <w:rFonts w:cs="Arial"/>
          <w:b/>
          <w:sz w:val="26"/>
          <w:szCs w:val="26"/>
          <w:lang w:val="pt-BR"/>
        </w:rPr>
      </w:pPr>
      <w:r w:rsidRPr="00B502CB">
        <w:rPr>
          <w:rFonts w:cs="Arial"/>
          <w:b/>
          <w:sz w:val="26"/>
          <w:szCs w:val="26"/>
          <w:lang w:val="pt-BR"/>
        </w:rPr>
        <w:t xml:space="preserve">AULA </w:t>
      </w:r>
      <w:r w:rsidR="00B502CB" w:rsidRPr="00B502CB">
        <w:rPr>
          <w:rFonts w:cs="Arial"/>
          <w:b/>
          <w:sz w:val="26"/>
          <w:szCs w:val="26"/>
          <w:lang w:val="pt-BR"/>
        </w:rPr>
        <w:t>0</w:t>
      </w:r>
      <w:r w:rsidR="002260F7">
        <w:rPr>
          <w:rFonts w:cs="Arial"/>
          <w:b/>
          <w:sz w:val="26"/>
          <w:szCs w:val="26"/>
          <w:lang w:val="pt-BR"/>
        </w:rPr>
        <w:t>2</w:t>
      </w:r>
      <w:r w:rsidR="00B502CB" w:rsidRPr="00B502CB">
        <w:rPr>
          <w:rFonts w:cs="Arial"/>
          <w:b/>
          <w:sz w:val="26"/>
          <w:szCs w:val="26"/>
          <w:lang w:val="pt-BR"/>
        </w:rPr>
        <w:t xml:space="preserve"> – </w:t>
      </w:r>
      <w:r w:rsidR="00E3538B">
        <w:rPr>
          <w:rFonts w:cs="Arial"/>
          <w:b/>
          <w:sz w:val="26"/>
          <w:szCs w:val="26"/>
          <w:lang w:val="pt-BR"/>
        </w:rPr>
        <w:t>Lucro Presumido e Lucro Arbitrado</w:t>
      </w:r>
    </w:p>
    <w:p w:rsidR="00611D26" w:rsidRDefault="00611D26" w:rsidP="005E01A2">
      <w:pPr>
        <w:spacing w:after="0" w:line="240" w:lineRule="auto"/>
        <w:jc w:val="both"/>
        <w:rPr>
          <w:rFonts w:cs="Arial"/>
          <w:b/>
          <w:lang w:val="pt-BR"/>
        </w:rPr>
      </w:pPr>
    </w:p>
    <w:p w:rsidR="001379FC" w:rsidRDefault="00611D26" w:rsidP="006936A0">
      <w:pPr>
        <w:spacing w:after="0" w:line="240" w:lineRule="auto"/>
        <w:jc w:val="both"/>
        <w:rPr>
          <w:rFonts w:cs="Arial"/>
          <w:lang w:val="pt-BR"/>
        </w:rPr>
      </w:pPr>
      <w:r w:rsidRPr="004963B1">
        <w:rPr>
          <w:rFonts w:cs="Arial"/>
          <w:b/>
          <w:lang w:val="pt-BR"/>
        </w:rPr>
        <w:t xml:space="preserve">Exercício AULA </w:t>
      </w:r>
      <w:r w:rsidR="00B502CB">
        <w:rPr>
          <w:rFonts w:cs="Arial"/>
          <w:b/>
          <w:lang w:val="pt-BR"/>
        </w:rPr>
        <w:t>0</w:t>
      </w:r>
      <w:r w:rsidR="002260F7">
        <w:rPr>
          <w:rFonts w:cs="Arial"/>
          <w:b/>
          <w:lang w:val="pt-BR"/>
        </w:rPr>
        <w:t>2</w:t>
      </w:r>
      <w:r>
        <w:rPr>
          <w:rFonts w:cs="Arial"/>
          <w:b/>
          <w:lang w:val="pt-BR"/>
        </w:rPr>
        <w:t xml:space="preserve">. </w:t>
      </w:r>
      <w:r w:rsidR="00AB0D1A" w:rsidRPr="00AB0D1A">
        <w:rPr>
          <w:rFonts w:cs="Arial"/>
          <w:lang w:val="pt-BR"/>
        </w:rPr>
        <w:t xml:space="preserve">O Auto </w:t>
      </w:r>
      <w:r w:rsidR="00AB0D1A">
        <w:rPr>
          <w:rFonts w:cs="Arial"/>
          <w:lang w:val="pt-BR"/>
        </w:rPr>
        <w:t>P</w:t>
      </w:r>
      <w:r w:rsidR="00AB0D1A" w:rsidRPr="00AB0D1A">
        <w:rPr>
          <w:rFonts w:cs="Arial"/>
          <w:lang w:val="pt-BR"/>
        </w:rPr>
        <w:t xml:space="preserve">osto São Paulo </w:t>
      </w:r>
      <w:r w:rsidR="00AB0D1A">
        <w:rPr>
          <w:rFonts w:cs="Arial"/>
          <w:lang w:val="pt-BR"/>
        </w:rPr>
        <w:t>Ltda.</w:t>
      </w:r>
      <w:r w:rsidR="006936A0">
        <w:rPr>
          <w:rFonts w:cs="Arial"/>
          <w:lang w:val="pt-BR"/>
        </w:rPr>
        <w:t>, mencionado em sala,</w:t>
      </w:r>
      <w:r w:rsidR="00AB0D1A">
        <w:rPr>
          <w:rFonts w:cs="Arial"/>
          <w:lang w:val="pt-BR"/>
        </w:rPr>
        <w:t xml:space="preserve"> manteve suas at</w:t>
      </w:r>
      <w:r w:rsidR="00E663C0">
        <w:rPr>
          <w:rFonts w:cs="Arial"/>
          <w:lang w:val="pt-BR"/>
        </w:rPr>
        <w:t>ividades ao longo do ano de 2018</w:t>
      </w:r>
      <w:r w:rsidR="00AB0D1A">
        <w:rPr>
          <w:rFonts w:cs="Arial"/>
          <w:lang w:val="pt-BR"/>
        </w:rPr>
        <w:t>. Além dos resultados a</w:t>
      </w:r>
      <w:r w:rsidR="00E663C0">
        <w:rPr>
          <w:rFonts w:cs="Arial"/>
          <w:lang w:val="pt-BR"/>
        </w:rPr>
        <w:t>uferidos no 1º trimestre de 2018</w:t>
      </w:r>
      <w:r w:rsidR="006936A0">
        <w:rPr>
          <w:rFonts w:cs="Arial"/>
          <w:lang w:val="pt-BR"/>
        </w:rPr>
        <w:t xml:space="preserve"> – já apresentados – </w:t>
      </w:r>
      <w:r w:rsidR="00AB0D1A">
        <w:rPr>
          <w:rFonts w:cs="Arial"/>
          <w:lang w:val="pt-BR"/>
        </w:rPr>
        <w:t xml:space="preserve">o Auto Posto São Paulo também auferiu as </w:t>
      </w:r>
      <w:r w:rsidR="001379FC">
        <w:rPr>
          <w:rFonts w:cs="Arial"/>
          <w:lang w:val="pt-BR"/>
        </w:rPr>
        <w:t>seguintes receitas e ganhos ao</w:t>
      </w:r>
      <w:r w:rsidR="00E663C0">
        <w:rPr>
          <w:rFonts w:cs="Arial"/>
          <w:lang w:val="pt-BR"/>
        </w:rPr>
        <w:t xml:space="preserve"> longo do ano-calendário de 2018</w:t>
      </w:r>
      <w:r w:rsidR="001379FC">
        <w:rPr>
          <w:rFonts w:cs="Arial"/>
          <w:lang w:val="pt-BR"/>
        </w:rPr>
        <w:t>:</w:t>
      </w:r>
    </w:p>
    <w:p w:rsidR="001379FC" w:rsidRDefault="001379FC" w:rsidP="006936A0">
      <w:pPr>
        <w:spacing w:after="0" w:line="240" w:lineRule="auto"/>
        <w:jc w:val="both"/>
        <w:rPr>
          <w:rFonts w:cs="Arial"/>
          <w:lang w:val="pt-BR"/>
        </w:rPr>
      </w:pPr>
    </w:p>
    <w:p w:rsidR="001379FC" w:rsidRPr="006936A0" w:rsidRDefault="006936A0" w:rsidP="006936A0">
      <w:pPr>
        <w:spacing w:after="0" w:line="240" w:lineRule="auto"/>
        <w:ind w:left="142"/>
        <w:jc w:val="both"/>
        <w:rPr>
          <w:rFonts w:cs="Arial"/>
          <w:b/>
          <w:lang w:val="pt-BR"/>
        </w:rPr>
      </w:pPr>
      <w:r w:rsidRPr="006936A0">
        <w:rPr>
          <w:rFonts w:cs="Arial"/>
          <w:b/>
          <w:lang w:val="pt-BR"/>
        </w:rPr>
        <w:t>1º Trimestre</w:t>
      </w:r>
    </w:p>
    <w:p w:rsidR="006936A0" w:rsidRDefault="006936A0" w:rsidP="006936A0">
      <w:pPr>
        <w:spacing w:after="0" w:line="240" w:lineRule="auto"/>
        <w:ind w:left="142"/>
        <w:jc w:val="both"/>
        <w:rPr>
          <w:rFonts w:cs="Arial"/>
          <w:lang w:val="pt-BR"/>
        </w:rPr>
      </w:pPr>
      <w:r>
        <w:rPr>
          <w:rFonts w:cs="Arial"/>
          <w:lang w:val="pt-BR"/>
        </w:rPr>
        <w:t>Venda de combustível para consumidores finais:</w:t>
      </w:r>
      <w:r>
        <w:rPr>
          <w:rFonts w:cs="Arial"/>
          <w:lang w:val="pt-BR"/>
        </w:rPr>
        <w:tab/>
        <w:t>R$ 1.200.000,00</w:t>
      </w:r>
    </w:p>
    <w:p w:rsidR="006936A0" w:rsidRDefault="006936A0" w:rsidP="006936A0">
      <w:pPr>
        <w:spacing w:after="0" w:line="240" w:lineRule="auto"/>
        <w:ind w:left="142"/>
        <w:jc w:val="both"/>
        <w:rPr>
          <w:rFonts w:cs="Arial"/>
          <w:lang w:val="pt-BR"/>
        </w:rPr>
      </w:pPr>
      <w:r>
        <w:rPr>
          <w:rFonts w:cs="Arial"/>
          <w:lang w:val="pt-BR"/>
        </w:rPr>
        <w:t>Venda de mercadorias na loja de conveniência:</w:t>
      </w:r>
      <w:r>
        <w:rPr>
          <w:rFonts w:cs="Arial"/>
          <w:lang w:val="pt-BR"/>
        </w:rPr>
        <w:tab/>
        <w:t>R$ 500.000,00</w:t>
      </w:r>
    </w:p>
    <w:p w:rsidR="006936A0" w:rsidRDefault="006936A0" w:rsidP="006936A0">
      <w:pPr>
        <w:spacing w:after="0" w:line="240" w:lineRule="auto"/>
        <w:ind w:left="142"/>
        <w:jc w:val="both"/>
        <w:rPr>
          <w:rFonts w:cs="Arial"/>
          <w:lang w:val="pt-BR"/>
        </w:rPr>
      </w:pPr>
      <w:r>
        <w:rPr>
          <w:rFonts w:cs="Arial"/>
          <w:lang w:val="pt-BR"/>
        </w:rPr>
        <w:t>Prestação de serviços mecânicos e de borracharia:</w:t>
      </w:r>
      <w:r>
        <w:rPr>
          <w:rFonts w:cs="Arial"/>
          <w:lang w:val="pt-BR"/>
        </w:rPr>
        <w:tab/>
        <w:t>R$ 20.000,00</w:t>
      </w:r>
    </w:p>
    <w:p w:rsidR="006936A0" w:rsidRDefault="006936A0" w:rsidP="006936A0">
      <w:pPr>
        <w:spacing w:after="0" w:line="240" w:lineRule="auto"/>
        <w:jc w:val="both"/>
        <w:rPr>
          <w:rFonts w:cs="Arial"/>
          <w:lang w:val="pt-BR"/>
        </w:rPr>
      </w:pPr>
    </w:p>
    <w:p w:rsidR="006936A0" w:rsidRPr="006936A0" w:rsidRDefault="006936A0" w:rsidP="006936A0">
      <w:pPr>
        <w:spacing w:after="0" w:line="240" w:lineRule="auto"/>
        <w:ind w:left="142"/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2</w:t>
      </w:r>
      <w:r w:rsidRPr="006936A0">
        <w:rPr>
          <w:rFonts w:cs="Arial"/>
          <w:b/>
          <w:lang w:val="pt-BR"/>
        </w:rPr>
        <w:t>º Trimestre</w:t>
      </w:r>
    </w:p>
    <w:p w:rsidR="00AD4D7F" w:rsidRDefault="00AD4D7F" w:rsidP="00AD4D7F">
      <w:pPr>
        <w:spacing w:after="0" w:line="240" w:lineRule="auto"/>
        <w:ind w:left="142"/>
        <w:jc w:val="both"/>
        <w:rPr>
          <w:rFonts w:cs="Arial"/>
          <w:lang w:val="pt-BR"/>
        </w:rPr>
      </w:pPr>
      <w:r>
        <w:rPr>
          <w:rFonts w:cs="Arial"/>
          <w:lang w:val="pt-BR"/>
        </w:rPr>
        <w:t>Venda de combustível para consumidores finais:</w:t>
      </w:r>
      <w:r>
        <w:rPr>
          <w:rFonts w:cs="Arial"/>
          <w:lang w:val="pt-BR"/>
        </w:rPr>
        <w:tab/>
        <w:t>R$ 1.300.000,00</w:t>
      </w:r>
    </w:p>
    <w:p w:rsidR="00AD4D7F" w:rsidRDefault="00AD4D7F" w:rsidP="00AD4D7F">
      <w:pPr>
        <w:spacing w:after="0" w:line="240" w:lineRule="auto"/>
        <w:ind w:left="142"/>
        <w:jc w:val="both"/>
        <w:rPr>
          <w:rFonts w:cs="Arial"/>
          <w:lang w:val="pt-BR"/>
        </w:rPr>
      </w:pPr>
      <w:r>
        <w:rPr>
          <w:rFonts w:cs="Arial"/>
          <w:lang w:val="pt-BR"/>
        </w:rPr>
        <w:t>Venda de mercadorias na loja de conveniência:</w:t>
      </w:r>
      <w:r>
        <w:rPr>
          <w:rFonts w:cs="Arial"/>
          <w:lang w:val="pt-BR"/>
        </w:rPr>
        <w:tab/>
        <w:t>R$ 400.000,00</w:t>
      </w:r>
    </w:p>
    <w:p w:rsidR="00AD4D7F" w:rsidRDefault="00AD4D7F" w:rsidP="00AD4D7F">
      <w:pPr>
        <w:spacing w:after="0" w:line="240" w:lineRule="auto"/>
        <w:ind w:left="142"/>
        <w:jc w:val="both"/>
        <w:rPr>
          <w:rFonts w:cs="Arial"/>
          <w:lang w:val="pt-BR"/>
        </w:rPr>
      </w:pPr>
      <w:r>
        <w:rPr>
          <w:rFonts w:cs="Arial"/>
          <w:lang w:val="pt-BR"/>
        </w:rPr>
        <w:t>Prestação de serviços mecânicos e de borracharia:</w:t>
      </w:r>
      <w:r>
        <w:rPr>
          <w:rFonts w:cs="Arial"/>
          <w:lang w:val="pt-BR"/>
        </w:rPr>
        <w:tab/>
        <w:t>R$ 12.000,00</w:t>
      </w:r>
    </w:p>
    <w:p w:rsidR="006936A0" w:rsidRDefault="006936A0" w:rsidP="006936A0">
      <w:pPr>
        <w:spacing w:after="0" w:line="240" w:lineRule="auto"/>
        <w:ind w:left="142"/>
        <w:jc w:val="both"/>
        <w:rPr>
          <w:rFonts w:cs="Arial"/>
          <w:b/>
          <w:lang w:val="pt-BR"/>
        </w:rPr>
      </w:pPr>
    </w:p>
    <w:p w:rsidR="00AD4D7F" w:rsidRPr="006936A0" w:rsidRDefault="00AD4D7F" w:rsidP="00AD4D7F">
      <w:pPr>
        <w:spacing w:after="0" w:line="240" w:lineRule="auto"/>
        <w:ind w:left="142"/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3</w:t>
      </w:r>
      <w:r w:rsidRPr="006936A0">
        <w:rPr>
          <w:rFonts w:cs="Arial"/>
          <w:b/>
          <w:lang w:val="pt-BR"/>
        </w:rPr>
        <w:t>º Trimestre</w:t>
      </w:r>
    </w:p>
    <w:p w:rsidR="00AD4D7F" w:rsidRDefault="00AD4D7F" w:rsidP="00AD4D7F">
      <w:pPr>
        <w:spacing w:after="0" w:line="240" w:lineRule="auto"/>
        <w:ind w:left="142"/>
        <w:jc w:val="both"/>
        <w:rPr>
          <w:rFonts w:cs="Arial"/>
          <w:lang w:val="pt-BR"/>
        </w:rPr>
      </w:pPr>
      <w:r>
        <w:rPr>
          <w:rFonts w:cs="Arial"/>
          <w:lang w:val="pt-BR"/>
        </w:rPr>
        <w:t>Venda de combustível para consumidores finais:</w:t>
      </w:r>
      <w:r>
        <w:rPr>
          <w:rFonts w:cs="Arial"/>
          <w:lang w:val="pt-BR"/>
        </w:rPr>
        <w:tab/>
        <w:t>R$ 1.000.000,00</w:t>
      </w:r>
    </w:p>
    <w:p w:rsidR="00AD4D7F" w:rsidRDefault="00AD4D7F" w:rsidP="00AD4D7F">
      <w:pPr>
        <w:spacing w:after="0" w:line="240" w:lineRule="auto"/>
        <w:ind w:left="142"/>
        <w:jc w:val="both"/>
        <w:rPr>
          <w:rFonts w:cs="Arial"/>
          <w:lang w:val="pt-BR"/>
        </w:rPr>
      </w:pPr>
      <w:r>
        <w:rPr>
          <w:rFonts w:cs="Arial"/>
          <w:lang w:val="pt-BR"/>
        </w:rPr>
        <w:t>Venda de mercadorias na loja de conveniência:</w:t>
      </w:r>
      <w:r>
        <w:rPr>
          <w:rFonts w:cs="Arial"/>
          <w:lang w:val="pt-BR"/>
        </w:rPr>
        <w:tab/>
        <w:t>R$ 300.000,00</w:t>
      </w:r>
    </w:p>
    <w:p w:rsidR="00AD4D7F" w:rsidRDefault="00AD4D7F" w:rsidP="00AD4D7F">
      <w:pPr>
        <w:spacing w:after="0" w:line="240" w:lineRule="auto"/>
        <w:ind w:left="142"/>
        <w:jc w:val="both"/>
        <w:rPr>
          <w:rFonts w:cs="Arial"/>
          <w:lang w:val="pt-BR"/>
        </w:rPr>
      </w:pPr>
      <w:r>
        <w:rPr>
          <w:rFonts w:cs="Arial"/>
          <w:lang w:val="pt-BR"/>
        </w:rPr>
        <w:t>Prestação de serviços mecânicos e de borracharia:</w:t>
      </w:r>
      <w:r>
        <w:rPr>
          <w:rFonts w:cs="Arial"/>
          <w:lang w:val="pt-BR"/>
        </w:rPr>
        <w:tab/>
        <w:t>R$ 15.000,00</w:t>
      </w:r>
    </w:p>
    <w:p w:rsidR="00AD4D7F" w:rsidRDefault="00AD4D7F" w:rsidP="00AD4D7F">
      <w:pPr>
        <w:spacing w:after="0" w:line="240" w:lineRule="auto"/>
        <w:ind w:left="142"/>
        <w:jc w:val="both"/>
        <w:rPr>
          <w:rFonts w:cs="Arial"/>
          <w:b/>
          <w:lang w:val="pt-BR"/>
        </w:rPr>
      </w:pPr>
    </w:p>
    <w:p w:rsidR="00AD4D7F" w:rsidRPr="006936A0" w:rsidRDefault="00AD4D7F" w:rsidP="00AD4D7F">
      <w:pPr>
        <w:spacing w:after="0" w:line="240" w:lineRule="auto"/>
        <w:ind w:left="142"/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4</w:t>
      </w:r>
      <w:r w:rsidRPr="006936A0">
        <w:rPr>
          <w:rFonts w:cs="Arial"/>
          <w:b/>
          <w:lang w:val="pt-BR"/>
        </w:rPr>
        <w:t>º Trimestre</w:t>
      </w:r>
    </w:p>
    <w:p w:rsidR="00AD4D7F" w:rsidRDefault="00AD4D7F" w:rsidP="00AD4D7F">
      <w:pPr>
        <w:spacing w:after="0" w:line="240" w:lineRule="auto"/>
        <w:ind w:left="142"/>
        <w:jc w:val="both"/>
        <w:rPr>
          <w:rFonts w:cs="Arial"/>
          <w:lang w:val="pt-BR"/>
        </w:rPr>
      </w:pPr>
      <w:r>
        <w:rPr>
          <w:rFonts w:cs="Arial"/>
          <w:lang w:val="pt-BR"/>
        </w:rPr>
        <w:t>Venda de combustível para consumidores finais:</w:t>
      </w:r>
      <w:r>
        <w:rPr>
          <w:rFonts w:cs="Arial"/>
          <w:lang w:val="pt-BR"/>
        </w:rPr>
        <w:tab/>
        <w:t>R$ 1.600.000,00</w:t>
      </w:r>
    </w:p>
    <w:p w:rsidR="00AD4D7F" w:rsidRDefault="00AD4D7F" w:rsidP="00AD4D7F">
      <w:pPr>
        <w:spacing w:after="0" w:line="240" w:lineRule="auto"/>
        <w:ind w:left="142"/>
        <w:jc w:val="both"/>
        <w:rPr>
          <w:rFonts w:cs="Arial"/>
          <w:lang w:val="pt-BR"/>
        </w:rPr>
      </w:pPr>
      <w:r>
        <w:rPr>
          <w:rFonts w:cs="Arial"/>
          <w:lang w:val="pt-BR"/>
        </w:rPr>
        <w:t>Venda de mercadorias na loja de conveniência:</w:t>
      </w:r>
      <w:r>
        <w:rPr>
          <w:rFonts w:cs="Arial"/>
          <w:lang w:val="pt-BR"/>
        </w:rPr>
        <w:tab/>
        <w:t>R$ 500.000,00</w:t>
      </w:r>
    </w:p>
    <w:p w:rsidR="00AD4D7F" w:rsidRDefault="00AD4D7F" w:rsidP="00AD4D7F">
      <w:pPr>
        <w:spacing w:after="0" w:line="240" w:lineRule="auto"/>
        <w:ind w:left="142"/>
        <w:jc w:val="both"/>
        <w:rPr>
          <w:rFonts w:cs="Arial"/>
          <w:lang w:val="pt-BR"/>
        </w:rPr>
      </w:pPr>
      <w:r>
        <w:rPr>
          <w:rFonts w:cs="Arial"/>
          <w:lang w:val="pt-BR"/>
        </w:rPr>
        <w:t>Prestação de serviços mecânicos e de borracharia:</w:t>
      </w:r>
      <w:r>
        <w:rPr>
          <w:rFonts w:cs="Arial"/>
          <w:lang w:val="pt-BR"/>
        </w:rPr>
        <w:tab/>
        <w:t>R$ 30.000,00</w:t>
      </w:r>
    </w:p>
    <w:p w:rsidR="006936A0" w:rsidRDefault="006936A0" w:rsidP="006936A0">
      <w:pPr>
        <w:spacing w:after="0" w:line="240" w:lineRule="auto"/>
        <w:jc w:val="both"/>
        <w:rPr>
          <w:rFonts w:cs="Arial"/>
          <w:lang w:val="pt-BR"/>
        </w:rPr>
      </w:pPr>
    </w:p>
    <w:p w:rsidR="001379FC" w:rsidRDefault="001379FC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Os custos e despesas operacionais do Auto Posto São Paulo no decorrer do período foram de:</w:t>
      </w:r>
    </w:p>
    <w:p w:rsidR="001379FC" w:rsidRDefault="001379FC" w:rsidP="006936A0">
      <w:pPr>
        <w:spacing w:after="0" w:line="240" w:lineRule="auto"/>
        <w:jc w:val="both"/>
        <w:rPr>
          <w:rFonts w:cs="Arial"/>
          <w:lang w:val="pt-BR"/>
        </w:rPr>
      </w:pPr>
    </w:p>
    <w:p w:rsidR="006936A0" w:rsidRDefault="006936A0" w:rsidP="006936A0">
      <w:pPr>
        <w:spacing w:after="0" w:line="240" w:lineRule="auto"/>
        <w:jc w:val="both"/>
        <w:rPr>
          <w:rFonts w:cs="Arial"/>
          <w:lang w:val="pt-BR"/>
        </w:rPr>
      </w:pPr>
    </w:p>
    <w:tbl>
      <w:tblPr>
        <w:tblStyle w:val="TableGrid"/>
        <w:tblW w:w="10110" w:type="dxa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985"/>
        <w:gridCol w:w="1893"/>
      </w:tblGrid>
      <w:tr w:rsidR="006936A0" w:rsidTr="006936A0">
        <w:trPr>
          <w:trHeight w:val="441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936A0" w:rsidRDefault="006936A0" w:rsidP="006936A0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36A0" w:rsidRPr="006936A0" w:rsidRDefault="006936A0" w:rsidP="006936A0">
            <w:pPr>
              <w:spacing w:after="0" w:line="240" w:lineRule="auto"/>
              <w:jc w:val="center"/>
              <w:rPr>
                <w:rFonts w:cs="Arial"/>
                <w:b/>
                <w:lang w:val="pt-BR"/>
              </w:rPr>
            </w:pPr>
            <w:r w:rsidRPr="006936A0">
              <w:rPr>
                <w:rFonts w:cs="Arial"/>
                <w:b/>
                <w:lang w:val="pt-BR"/>
              </w:rPr>
              <w:t>1º Trimestre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36A0" w:rsidRPr="006936A0" w:rsidRDefault="006936A0" w:rsidP="006936A0">
            <w:pPr>
              <w:spacing w:after="0" w:line="240" w:lineRule="auto"/>
              <w:jc w:val="center"/>
              <w:rPr>
                <w:rFonts w:cs="Arial"/>
                <w:b/>
                <w:lang w:val="pt-BR"/>
              </w:rPr>
            </w:pPr>
            <w:r w:rsidRPr="006936A0">
              <w:rPr>
                <w:rFonts w:cs="Arial"/>
                <w:b/>
                <w:lang w:val="pt-BR"/>
              </w:rPr>
              <w:t>2º Trimestre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36A0" w:rsidRPr="006936A0" w:rsidRDefault="006936A0" w:rsidP="006936A0">
            <w:pPr>
              <w:spacing w:after="0" w:line="240" w:lineRule="auto"/>
              <w:jc w:val="center"/>
              <w:rPr>
                <w:rFonts w:cs="Arial"/>
                <w:b/>
                <w:lang w:val="pt-BR"/>
              </w:rPr>
            </w:pPr>
            <w:r w:rsidRPr="006936A0">
              <w:rPr>
                <w:rFonts w:cs="Arial"/>
                <w:b/>
                <w:lang w:val="pt-BR"/>
              </w:rPr>
              <w:t>3º Trimestre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936A0" w:rsidRPr="006936A0" w:rsidRDefault="006936A0" w:rsidP="006936A0">
            <w:pPr>
              <w:spacing w:after="0" w:line="240" w:lineRule="auto"/>
              <w:jc w:val="center"/>
              <w:rPr>
                <w:rFonts w:cs="Arial"/>
                <w:b/>
                <w:lang w:val="pt-BR"/>
              </w:rPr>
            </w:pPr>
            <w:r w:rsidRPr="006936A0">
              <w:rPr>
                <w:rFonts w:cs="Arial"/>
                <w:b/>
                <w:lang w:val="pt-BR"/>
              </w:rPr>
              <w:t>4º Trimestre</w:t>
            </w:r>
          </w:p>
        </w:tc>
      </w:tr>
      <w:tr w:rsidR="00AD4D7F" w:rsidRPr="00AD4D7F" w:rsidTr="006936A0">
        <w:trPr>
          <w:trHeight w:val="417"/>
        </w:trPr>
        <w:tc>
          <w:tcPr>
            <w:tcW w:w="2405" w:type="dxa"/>
            <w:shd w:val="clear" w:color="auto" w:fill="auto"/>
            <w:vAlign w:val="center"/>
          </w:tcPr>
          <w:p w:rsidR="00AD4D7F" w:rsidRDefault="00AD4D7F" w:rsidP="00AD4D7F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Custos operacionais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D7F" w:rsidRDefault="00AD4D7F" w:rsidP="00AD4D7F">
            <w:pPr>
              <w:spacing w:after="0" w:line="240" w:lineRule="auto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185.</w:t>
            </w:r>
            <w:r w:rsidR="002260F7">
              <w:rPr>
                <w:rFonts w:cs="Arial"/>
                <w:lang w:val="pt-BR"/>
              </w:rPr>
              <w:t>220</w:t>
            </w:r>
            <w:r>
              <w:rPr>
                <w:rFonts w:cs="Arial"/>
                <w:lang w:val="pt-BR"/>
              </w:rPr>
              <w:t>,</w:t>
            </w:r>
            <w:r w:rsidR="002260F7">
              <w:rPr>
                <w:rFonts w:cs="Arial"/>
                <w:lang w:val="pt-BR"/>
              </w:rPr>
              <w:t>0</w:t>
            </w:r>
            <w:r>
              <w:rPr>
                <w:rFonts w:cs="Arial"/>
                <w:lang w:val="pt-BR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D7F" w:rsidRDefault="00AD4D7F" w:rsidP="00AD4D7F">
            <w:pPr>
              <w:spacing w:after="0" w:line="240" w:lineRule="auto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189.147,00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4D7F" w:rsidRDefault="00AD4D7F" w:rsidP="00AD4D7F">
            <w:pPr>
              <w:spacing w:after="0" w:line="240" w:lineRule="auto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146.637,50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D4D7F" w:rsidRDefault="00AD4D7F" w:rsidP="00AD4D7F">
            <w:pPr>
              <w:spacing w:after="0" w:line="240" w:lineRule="auto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251.890,00</w:t>
            </w:r>
          </w:p>
        </w:tc>
      </w:tr>
      <w:tr w:rsidR="00AD4D7F" w:rsidRPr="00AD4D7F" w:rsidTr="006936A0">
        <w:trPr>
          <w:trHeight w:val="417"/>
        </w:trPr>
        <w:tc>
          <w:tcPr>
            <w:tcW w:w="2405" w:type="dxa"/>
            <w:shd w:val="clear" w:color="auto" w:fill="auto"/>
            <w:vAlign w:val="center"/>
          </w:tcPr>
          <w:p w:rsidR="00AD4D7F" w:rsidRDefault="00AD4D7F" w:rsidP="00AD4D7F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Despesas operacionais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D7F" w:rsidRDefault="00AD4D7F" w:rsidP="00AD4D7F">
            <w:pPr>
              <w:spacing w:after="0" w:line="240" w:lineRule="auto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870.800,00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D7F" w:rsidRDefault="00AD4D7F" w:rsidP="00AD4D7F">
            <w:pPr>
              <w:spacing w:after="0" w:line="240" w:lineRule="auto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860.000,00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4D7F" w:rsidRDefault="00AD4D7F" w:rsidP="00AD4D7F">
            <w:pPr>
              <w:spacing w:after="0" w:line="240" w:lineRule="auto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560.000,00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D4D7F" w:rsidRDefault="00AD4D7F" w:rsidP="00AD4D7F">
            <w:pPr>
              <w:spacing w:after="0" w:line="240" w:lineRule="auto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1.02</w:t>
            </w:r>
            <w:r w:rsidR="00326C74">
              <w:rPr>
                <w:rFonts w:cs="Arial"/>
                <w:lang w:val="pt-BR"/>
              </w:rPr>
              <w:t>1</w:t>
            </w:r>
            <w:r>
              <w:rPr>
                <w:rFonts w:cs="Arial"/>
                <w:lang w:val="pt-BR"/>
              </w:rPr>
              <w:t>.0</w:t>
            </w:r>
            <w:r w:rsidR="00326C74">
              <w:rPr>
                <w:rFonts w:cs="Arial"/>
                <w:lang w:val="pt-BR"/>
              </w:rPr>
              <w:t>95</w:t>
            </w:r>
            <w:r>
              <w:rPr>
                <w:rFonts w:cs="Arial"/>
                <w:lang w:val="pt-BR"/>
              </w:rPr>
              <w:t>,00</w:t>
            </w:r>
          </w:p>
        </w:tc>
      </w:tr>
    </w:tbl>
    <w:p w:rsidR="001379FC" w:rsidRDefault="001379FC" w:rsidP="006936A0">
      <w:pPr>
        <w:spacing w:after="0" w:line="240" w:lineRule="auto"/>
        <w:jc w:val="both"/>
        <w:rPr>
          <w:rFonts w:cs="Arial"/>
          <w:lang w:val="pt-BR"/>
        </w:rPr>
      </w:pPr>
    </w:p>
    <w:p w:rsidR="001379FC" w:rsidRDefault="001379FC" w:rsidP="006936A0">
      <w:pPr>
        <w:spacing w:after="0" w:line="240" w:lineRule="auto"/>
        <w:jc w:val="both"/>
        <w:rPr>
          <w:rFonts w:cs="Arial"/>
          <w:lang w:val="pt-BR"/>
        </w:rPr>
      </w:pPr>
    </w:p>
    <w:p w:rsidR="001379FC" w:rsidRDefault="001379FC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Além destas atividades, o Auto Postou São Paulo continuou a promover a venda e substituição de ativos obsoletos, alguns dos quais já plenamente depreciados, conforme a tabela transcrita abaixo. O dinheiro que não foi mantido em caixa para a manutenção de suas atividades de dia-a-dia foram investidos em aplicações de renda fixa – além do rendimento de R$ 1.000,00 auferido no 1º trimestre, um aumento no valor do investimento a partir do 2º trimestre levou a um rendimento de R$ 10.000,00 ao longo d</w:t>
      </w:r>
      <w:r w:rsidR="00E663C0">
        <w:rPr>
          <w:rFonts w:cs="Arial"/>
          <w:lang w:val="pt-BR"/>
        </w:rPr>
        <w:t>o 2º, 3º e 4º trimestres de 2018</w:t>
      </w:r>
      <w:r w:rsidR="005A2419">
        <w:rPr>
          <w:rStyle w:val="FootnoteReference"/>
          <w:rFonts w:cs="Arial"/>
          <w:lang w:val="pt-BR"/>
        </w:rPr>
        <w:footnoteReference w:id="1"/>
      </w:r>
      <w:r>
        <w:rPr>
          <w:rFonts w:cs="Arial"/>
          <w:lang w:val="pt-BR"/>
        </w:rPr>
        <w:t>.</w:t>
      </w:r>
    </w:p>
    <w:p w:rsidR="001379FC" w:rsidRDefault="001379FC" w:rsidP="006936A0">
      <w:pPr>
        <w:spacing w:after="0" w:line="240" w:lineRule="auto"/>
        <w:jc w:val="both"/>
        <w:rPr>
          <w:rFonts w:cs="Arial"/>
          <w:lang w:val="pt-BR"/>
        </w:rPr>
      </w:pPr>
    </w:p>
    <w:p w:rsidR="001379FC" w:rsidRDefault="001379FC" w:rsidP="006936A0">
      <w:pPr>
        <w:spacing w:after="0" w:line="240" w:lineRule="auto"/>
        <w:jc w:val="both"/>
        <w:rPr>
          <w:rFonts w:cs="Arial"/>
          <w:lang w:val="pt-BR"/>
        </w:rPr>
      </w:pPr>
    </w:p>
    <w:p w:rsidR="001379FC" w:rsidRDefault="001379FC" w:rsidP="006936A0">
      <w:pPr>
        <w:spacing w:after="0" w:line="240" w:lineRule="auto"/>
        <w:jc w:val="both"/>
        <w:rPr>
          <w:rFonts w:cs="Arial"/>
          <w:lang w:val="pt-BR"/>
        </w:rPr>
      </w:pPr>
    </w:p>
    <w:p w:rsidR="001379FC" w:rsidRDefault="001379FC" w:rsidP="006936A0">
      <w:pPr>
        <w:spacing w:after="0" w:line="240" w:lineRule="auto"/>
        <w:jc w:val="both"/>
        <w:rPr>
          <w:rFonts w:cs="Arial"/>
          <w:lang w:val="pt-BR"/>
        </w:rPr>
      </w:pPr>
    </w:p>
    <w:tbl>
      <w:tblPr>
        <w:tblStyle w:val="TableGrid"/>
        <w:tblW w:w="7180" w:type="dxa"/>
        <w:jc w:val="center"/>
        <w:tblLook w:val="04A0" w:firstRow="1" w:lastRow="0" w:firstColumn="1" w:lastColumn="0" w:noHBand="0" w:noVBand="1"/>
      </w:tblPr>
      <w:tblGrid>
        <w:gridCol w:w="3988"/>
        <w:gridCol w:w="2163"/>
        <w:gridCol w:w="1029"/>
      </w:tblGrid>
      <w:tr w:rsidR="006936A0" w:rsidRPr="00644597" w:rsidTr="00752CD9">
        <w:trPr>
          <w:trHeight w:val="433"/>
          <w:jc w:val="center"/>
        </w:trPr>
        <w:tc>
          <w:tcPr>
            <w:tcW w:w="7180" w:type="dxa"/>
            <w:gridSpan w:val="3"/>
            <w:vAlign w:val="center"/>
          </w:tcPr>
          <w:p w:rsidR="006936A0" w:rsidRPr="00D53DB9" w:rsidRDefault="006936A0" w:rsidP="006936A0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Alienação de antigas bombas de gasolina no 1º trimestre</w:t>
            </w:r>
          </w:p>
        </w:tc>
      </w:tr>
      <w:tr w:rsidR="006936A0" w:rsidTr="006936A0">
        <w:trPr>
          <w:trHeight w:val="409"/>
          <w:jc w:val="center"/>
        </w:trPr>
        <w:tc>
          <w:tcPr>
            <w:tcW w:w="3988" w:type="dxa"/>
            <w:vAlign w:val="center"/>
          </w:tcPr>
          <w:p w:rsidR="006936A0" w:rsidRDefault="006936A0" w:rsidP="00752CD9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Valor de alienação</w:t>
            </w:r>
          </w:p>
        </w:tc>
        <w:tc>
          <w:tcPr>
            <w:tcW w:w="2163" w:type="dxa"/>
            <w:vAlign w:val="center"/>
          </w:tcPr>
          <w:p w:rsidR="006936A0" w:rsidRDefault="006936A0" w:rsidP="00752CD9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20.000,00</w:t>
            </w:r>
          </w:p>
        </w:tc>
        <w:tc>
          <w:tcPr>
            <w:tcW w:w="1029" w:type="dxa"/>
            <w:vAlign w:val="center"/>
          </w:tcPr>
          <w:p w:rsidR="006936A0" w:rsidRDefault="006936A0" w:rsidP="00752CD9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6936A0" w:rsidTr="006936A0">
        <w:trPr>
          <w:trHeight w:val="433"/>
          <w:jc w:val="center"/>
        </w:trPr>
        <w:tc>
          <w:tcPr>
            <w:tcW w:w="3988" w:type="dxa"/>
            <w:vAlign w:val="center"/>
          </w:tcPr>
          <w:p w:rsidR="006936A0" w:rsidRDefault="006936A0" w:rsidP="00C33ECA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Custo</w:t>
            </w:r>
          </w:p>
        </w:tc>
        <w:tc>
          <w:tcPr>
            <w:tcW w:w="2163" w:type="dxa"/>
            <w:vAlign w:val="center"/>
          </w:tcPr>
          <w:p w:rsidR="006936A0" w:rsidRDefault="006936A0" w:rsidP="00752CD9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0,00*¹</w:t>
            </w:r>
          </w:p>
        </w:tc>
        <w:tc>
          <w:tcPr>
            <w:tcW w:w="1029" w:type="dxa"/>
            <w:vAlign w:val="center"/>
          </w:tcPr>
          <w:p w:rsidR="006936A0" w:rsidRDefault="006936A0" w:rsidP="00752CD9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(-)</w:t>
            </w:r>
          </w:p>
        </w:tc>
      </w:tr>
      <w:tr w:rsidR="006936A0" w:rsidTr="006936A0">
        <w:trPr>
          <w:trHeight w:val="409"/>
          <w:jc w:val="center"/>
        </w:trPr>
        <w:tc>
          <w:tcPr>
            <w:tcW w:w="3988" w:type="dxa"/>
            <w:vAlign w:val="center"/>
          </w:tcPr>
          <w:p w:rsidR="006936A0" w:rsidRDefault="006936A0" w:rsidP="00752CD9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Ganho de capital</w:t>
            </w:r>
          </w:p>
        </w:tc>
        <w:tc>
          <w:tcPr>
            <w:tcW w:w="2163" w:type="dxa"/>
            <w:vAlign w:val="center"/>
          </w:tcPr>
          <w:p w:rsidR="006936A0" w:rsidRPr="00D53DB9" w:rsidRDefault="006936A0" w:rsidP="00752CD9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20.000,00</w:t>
            </w:r>
          </w:p>
        </w:tc>
        <w:tc>
          <w:tcPr>
            <w:tcW w:w="1029" w:type="dxa"/>
            <w:vAlign w:val="center"/>
          </w:tcPr>
          <w:p w:rsidR="006936A0" w:rsidRPr="00D53DB9" w:rsidRDefault="006936A0" w:rsidP="00752CD9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>(=)</w:t>
            </w:r>
          </w:p>
        </w:tc>
      </w:tr>
    </w:tbl>
    <w:p w:rsidR="001379FC" w:rsidRPr="006936A0" w:rsidRDefault="006936A0" w:rsidP="006936A0">
      <w:pPr>
        <w:spacing w:before="80" w:after="0" w:line="240" w:lineRule="auto"/>
        <w:jc w:val="both"/>
        <w:rPr>
          <w:rFonts w:cs="Arial"/>
          <w:sz w:val="16"/>
          <w:szCs w:val="16"/>
          <w:lang w:val="pt-BR"/>
        </w:rPr>
      </w:pPr>
      <w:r w:rsidRPr="006936A0">
        <w:rPr>
          <w:rFonts w:cs="Arial"/>
          <w:sz w:val="16"/>
          <w:szCs w:val="16"/>
          <w:lang w:val="pt-BR"/>
        </w:rPr>
        <w:tab/>
      </w:r>
      <w:r w:rsidRPr="006936A0">
        <w:rPr>
          <w:rFonts w:cs="Arial"/>
          <w:sz w:val="16"/>
          <w:szCs w:val="16"/>
          <w:lang w:val="pt-BR"/>
        </w:rPr>
        <w:tab/>
        <w:t>*¹ as bombas de gasolina já estavam plenamente depreciadas</w:t>
      </w:r>
    </w:p>
    <w:p w:rsidR="006936A0" w:rsidRDefault="006936A0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ab/>
      </w:r>
    </w:p>
    <w:tbl>
      <w:tblPr>
        <w:tblStyle w:val="TableGrid"/>
        <w:tblW w:w="7180" w:type="dxa"/>
        <w:jc w:val="center"/>
        <w:tblLook w:val="04A0" w:firstRow="1" w:lastRow="0" w:firstColumn="1" w:lastColumn="0" w:noHBand="0" w:noVBand="1"/>
      </w:tblPr>
      <w:tblGrid>
        <w:gridCol w:w="3988"/>
        <w:gridCol w:w="2163"/>
        <w:gridCol w:w="1029"/>
      </w:tblGrid>
      <w:tr w:rsidR="006936A0" w:rsidRPr="00644597" w:rsidTr="00752CD9">
        <w:trPr>
          <w:trHeight w:val="433"/>
          <w:jc w:val="center"/>
        </w:trPr>
        <w:tc>
          <w:tcPr>
            <w:tcW w:w="7180" w:type="dxa"/>
            <w:gridSpan w:val="3"/>
            <w:vAlign w:val="center"/>
          </w:tcPr>
          <w:p w:rsidR="006936A0" w:rsidRPr="00D53DB9" w:rsidRDefault="00C33ECA" w:rsidP="006936A0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Alienação de antigas geladeiras de bebidas no 3º trimestre</w:t>
            </w:r>
          </w:p>
        </w:tc>
      </w:tr>
      <w:tr w:rsidR="00C33ECA" w:rsidTr="00752CD9">
        <w:trPr>
          <w:trHeight w:val="409"/>
          <w:jc w:val="center"/>
        </w:trPr>
        <w:tc>
          <w:tcPr>
            <w:tcW w:w="3988" w:type="dxa"/>
            <w:vAlign w:val="center"/>
          </w:tcPr>
          <w:p w:rsidR="00C33ECA" w:rsidRDefault="00C33ECA" w:rsidP="00C33ECA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Valor de alienação</w:t>
            </w:r>
          </w:p>
        </w:tc>
        <w:tc>
          <w:tcPr>
            <w:tcW w:w="2163" w:type="dxa"/>
            <w:vAlign w:val="center"/>
          </w:tcPr>
          <w:p w:rsidR="00C33ECA" w:rsidRDefault="00C33ECA" w:rsidP="00C33ECA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8.000,00</w:t>
            </w:r>
          </w:p>
        </w:tc>
        <w:tc>
          <w:tcPr>
            <w:tcW w:w="1029" w:type="dxa"/>
            <w:vAlign w:val="center"/>
          </w:tcPr>
          <w:p w:rsidR="00C33ECA" w:rsidRDefault="00C33ECA" w:rsidP="00C33ECA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C33ECA" w:rsidTr="00752CD9">
        <w:trPr>
          <w:trHeight w:val="433"/>
          <w:jc w:val="center"/>
        </w:trPr>
        <w:tc>
          <w:tcPr>
            <w:tcW w:w="3988" w:type="dxa"/>
            <w:vAlign w:val="center"/>
          </w:tcPr>
          <w:p w:rsidR="00C33ECA" w:rsidRDefault="00C33ECA" w:rsidP="00C33ECA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Custo</w:t>
            </w:r>
          </w:p>
        </w:tc>
        <w:tc>
          <w:tcPr>
            <w:tcW w:w="2163" w:type="dxa"/>
            <w:vAlign w:val="center"/>
          </w:tcPr>
          <w:p w:rsidR="00C33ECA" w:rsidRDefault="00C33ECA" w:rsidP="00C33ECA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0,00*¹</w:t>
            </w:r>
          </w:p>
        </w:tc>
        <w:tc>
          <w:tcPr>
            <w:tcW w:w="1029" w:type="dxa"/>
            <w:vAlign w:val="center"/>
          </w:tcPr>
          <w:p w:rsidR="00C33ECA" w:rsidRDefault="00C33ECA" w:rsidP="00C33ECA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(-)</w:t>
            </w:r>
          </w:p>
        </w:tc>
      </w:tr>
      <w:tr w:rsidR="00C33ECA" w:rsidTr="00752CD9">
        <w:trPr>
          <w:trHeight w:val="409"/>
          <w:jc w:val="center"/>
        </w:trPr>
        <w:tc>
          <w:tcPr>
            <w:tcW w:w="3988" w:type="dxa"/>
            <w:vAlign w:val="center"/>
          </w:tcPr>
          <w:p w:rsidR="00C33ECA" w:rsidRDefault="00C33ECA" w:rsidP="00C33ECA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Ganho de capital</w:t>
            </w:r>
          </w:p>
        </w:tc>
        <w:tc>
          <w:tcPr>
            <w:tcW w:w="2163" w:type="dxa"/>
            <w:vAlign w:val="center"/>
          </w:tcPr>
          <w:p w:rsidR="00C33ECA" w:rsidRPr="00D53DB9" w:rsidRDefault="00C33ECA" w:rsidP="00C33ECA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8.000,00</w:t>
            </w:r>
          </w:p>
        </w:tc>
        <w:tc>
          <w:tcPr>
            <w:tcW w:w="1029" w:type="dxa"/>
            <w:vAlign w:val="center"/>
          </w:tcPr>
          <w:p w:rsidR="00C33ECA" w:rsidRPr="00D53DB9" w:rsidRDefault="00C33ECA" w:rsidP="00C33ECA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>(=)</w:t>
            </w:r>
          </w:p>
        </w:tc>
      </w:tr>
    </w:tbl>
    <w:p w:rsidR="00C33ECA" w:rsidRPr="006936A0" w:rsidRDefault="00C33ECA" w:rsidP="00C33ECA">
      <w:pPr>
        <w:spacing w:before="80" w:after="0" w:line="240" w:lineRule="auto"/>
        <w:ind w:left="720" w:firstLine="720"/>
        <w:jc w:val="both"/>
        <w:rPr>
          <w:rFonts w:cs="Arial"/>
          <w:sz w:val="16"/>
          <w:szCs w:val="16"/>
          <w:lang w:val="pt-BR"/>
        </w:rPr>
      </w:pPr>
      <w:r w:rsidRPr="006936A0">
        <w:rPr>
          <w:rFonts w:cs="Arial"/>
          <w:sz w:val="16"/>
          <w:szCs w:val="16"/>
          <w:lang w:val="pt-BR"/>
        </w:rPr>
        <w:t xml:space="preserve">*¹ as </w:t>
      </w:r>
      <w:r>
        <w:rPr>
          <w:rFonts w:cs="Arial"/>
          <w:sz w:val="16"/>
          <w:szCs w:val="16"/>
          <w:lang w:val="pt-BR"/>
        </w:rPr>
        <w:t>geladeiras de bebidas</w:t>
      </w:r>
      <w:r w:rsidRPr="006936A0">
        <w:rPr>
          <w:rFonts w:cs="Arial"/>
          <w:sz w:val="16"/>
          <w:szCs w:val="16"/>
          <w:lang w:val="pt-BR"/>
        </w:rPr>
        <w:t xml:space="preserve"> já estavam plenamente depreciadas</w:t>
      </w:r>
    </w:p>
    <w:p w:rsidR="006936A0" w:rsidRDefault="006936A0" w:rsidP="006936A0">
      <w:pPr>
        <w:spacing w:after="0" w:line="240" w:lineRule="auto"/>
        <w:jc w:val="both"/>
        <w:rPr>
          <w:rFonts w:cs="Arial"/>
          <w:lang w:val="pt-BR"/>
        </w:rPr>
      </w:pPr>
    </w:p>
    <w:tbl>
      <w:tblPr>
        <w:tblStyle w:val="TableGrid"/>
        <w:tblW w:w="7180" w:type="dxa"/>
        <w:jc w:val="center"/>
        <w:tblLook w:val="04A0" w:firstRow="1" w:lastRow="0" w:firstColumn="1" w:lastColumn="0" w:noHBand="0" w:noVBand="1"/>
      </w:tblPr>
      <w:tblGrid>
        <w:gridCol w:w="3988"/>
        <w:gridCol w:w="2163"/>
        <w:gridCol w:w="1029"/>
      </w:tblGrid>
      <w:tr w:rsidR="006936A0" w:rsidRPr="00644597" w:rsidTr="00752CD9">
        <w:trPr>
          <w:trHeight w:val="433"/>
          <w:jc w:val="center"/>
        </w:trPr>
        <w:tc>
          <w:tcPr>
            <w:tcW w:w="7180" w:type="dxa"/>
            <w:gridSpan w:val="3"/>
            <w:vAlign w:val="center"/>
          </w:tcPr>
          <w:p w:rsidR="006936A0" w:rsidRPr="00D53DB9" w:rsidRDefault="00C33ECA" w:rsidP="006936A0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Alienação de estufas de alimentos quentes no 4º trimestre</w:t>
            </w:r>
          </w:p>
        </w:tc>
      </w:tr>
      <w:tr w:rsidR="006936A0" w:rsidTr="00752CD9">
        <w:trPr>
          <w:trHeight w:val="409"/>
          <w:jc w:val="center"/>
        </w:trPr>
        <w:tc>
          <w:tcPr>
            <w:tcW w:w="3988" w:type="dxa"/>
            <w:vAlign w:val="center"/>
          </w:tcPr>
          <w:p w:rsidR="006936A0" w:rsidRDefault="006936A0" w:rsidP="00752CD9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Valor de alienação</w:t>
            </w:r>
          </w:p>
        </w:tc>
        <w:tc>
          <w:tcPr>
            <w:tcW w:w="2163" w:type="dxa"/>
            <w:vAlign w:val="center"/>
          </w:tcPr>
          <w:p w:rsidR="006936A0" w:rsidRDefault="00C33ECA" w:rsidP="00752CD9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30.000,00</w:t>
            </w:r>
          </w:p>
        </w:tc>
        <w:tc>
          <w:tcPr>
            <w:tcW w:w="1029" w:type="dxa"/>
            <w:vAlign w:val="center"/>
          </w:tcPr>
          <w:p w:rsidR="006936A0" w:rsidRDefault="006936A0" w:rsidP="00752CD9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6936A0" w:rsidTr="00752CD9">
        <w:trPr>
          <w:trHeight w:val="433"/>
          <w:jc w:val="center"/>
        </w:trPr>
        <w:tc>
          <w:tcPr>
            <w:tcW w:w="3988" w:type="dxa"/>
            <w:vAlign w:val="center"/>
          </w:tcPr>
          <w:p w:rsidR="006936A0" w:rsidRDefault="006936A0" w:rsidP="00C33ECA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Custo</w:t>
            </w:r>
          </w:p>
        </w:tc>
        <w:tc>
          <w:tcPr>
            <w:tcW w:w="2163" w:type="dxa"/>
            <w:vAlign w:val="center"/>
          </w:tcPr>
          <w:p w:rsidR="006936A0" w:rsidRDefault="00C33ECA" w:rsidP="00CF4B1E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CF4B1E">
              <w:rPr>
                <w:lang w:val="pt-BR"/>
              </w:rPr>
              <w:t>3</w:t>
            </w:r>
            <w:r>
              <w:rPr>
                <w:lang w:val="pt-BR"/>
              </w:rPr>
              <w:t>.000,00*¹</w:t>
            </w:r>
          </w:p>
        </w:tc>
        <w:tc>
          <w:tcPr>
            <w:tcW w:w="1029" w:type="dxa"/>
            <w:vAlign w:val="center"/>
          </w:tcPr>
          <w:p w:rsidR="006936A0" w:rsidRDefault="006936A0" w:rsidP="00752CD9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(-)</w:t>
            </w:r>
          </w:p>
        </w:tc>
      </w:tr>
      <w:tr w:rsidR="006936A0" w:rsidTr="00752CD9">
        <w:trPr>
          <w:trHeight w:val="409"/>
          <w:jc w:val="center"/>
        </w:trPr>
        <w:tc>
          <w:tcPr>
            <w:tcW w:w="3988" w:type="dxa"/>
            <w:vAlign w:val="center"/>
          </w:tcPr>
          <w:p w:rsidR="006936A0" w:rsidRDefault="006936A0" w:rsidP="00752CD9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Ganho de capital</w:t>
            </w:r>
          </w:p>
        </w:tc>
        <w:tc>
          <w:tcPr>
            <w:tcW w:w="2163" w:type="dxa"/>
            <w:vAlign w:val="center"/>
          </w:tcPr>
          <w:p w:rsidR="006936A0" w:rsidRPr="00D53DB9" w:rsidRDefault="00CF4B1E" w:rsidP="00752CD9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7</w:t>
            </w:r>
            <w:r w:rsidR="00C33ECA">
              <w:rPr>
                <w:b/>
                <w:lang w:val="pt-BR"/>
              </w:rPr>
              <w:t>.000,00</w:t>
            </w:r>
          </w:p>
        </w:tc>
        <w:tc>
          <w:tcPr>
            <w:tcW w:w="1029" w:type="dxa"/>
            <w:vAlign w:val="center"/>
          </w:tcPr>
          <w:p w:rsidR="006936A0" w:rsidRPr="00D53DB9" w:rsidRDefault="006936A0" w:rsidP="00752CD9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>(=)</w:t>
            </w:r>
          </w:p>
        </w:tc>
      </w:tr>
    </w:tbl>
    <w:p w:rsidR="006936A0" w:rsidRDefault="00C33ECA" w:rsidP="00C33ECA">
      <w:pPr>
        <w:spacing w:before="120" w:after="0" w:line="240" w:lineRule="auto"/>
        <w:ind w:left="720" w:firstLine="720"/>
        <w:jc w:val="both"/>
        <w:rPr>
          <w:rFonts w:cs="Arial"/>
          <w:lang w:val="pt-BR"/>
        </w:rPr>
      </w:pPr>
      <w:r w:rsidRPr="006936A0">
        <w:rPr>
          <w:rFonts w:cs="Arial"/>
          <w:sz w:val="16"/>
          <w:szCs w:val="16"/>
          <w:lang w:val="pt-BR"/>
        </w:rPr>
        <w:t xml:space="preserve">*¹ </w:t>
      </w:r>
      <w:r>
        <w:rPr>
          <w:rFonts w:cs="Arial"/>
          <w:sz w:val="16"/>
          <w:szCs w:val="16"/>
          <w:lang w:val="pt-BR"/>
        </w:rPr>
        <w:t xml:space="preserve">as estufas de alimentos quentes </w:t>
      </w:r>
      <w:r w:rsidR="001B43DC">
        <w:rPr>
          <w:rFonts w:cs="Arial"/>
          <w:sz w:val="16"/>
          <w:szCs w:val="16"/>
          <w:lang w:val="pt-BR"/>
        </w:rPr>
        <w:t>estavam</w:t>
      </w:r>
      <w:r>
        <w:rPr>
          <w:rFonts w:cs="Arial"/>
          <w:sz w:val="16"/>
          <w:szCs w:val="16"/>
          <w:lang w:val="pt-BR"/>
        </w:rPr>
        <w:t xml:space="preserve"> parcialmente </w:t>
      </w:r>
      <w:r w:rsidRPr="006936A0">
        <w:rPr>
          <w:rFonts w:cs="Arial"/>
          <w:sz w:val="16"/>
          <w:szCs w:val="16"/>
          <w:lang w:val="pt-BR"/>
        </w:rPr>
        <w:t>depreciadas</w:t>
      </w:r>
    </w:p>
    <w:p w:rsidR="00C33ECA" w:rsidRDefault="00C33ECA" w:rsidP="006936A0">
      <w:pPr>
        <w:spacing w:after="0" w:line="240" w:lineRule="auto"/>
        <w:jc w:val="both"/>
        <w:rPr>
          <w:rFonts w:cs="Arial"/>
          <w:lang w:val="pt-BR"/>
        </w:rPr>
      </w:pPr>
    </w:p>
    <w:p w:rsidR="00752CD9" w:rsidRDefault="00752CD9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Nos termos do artigo </w:t>
      </w:r>
      <w:r w:rsidR="00BA7417">
        <w:rPr>
          <w:rFonts w:cs="Arial"/>
          <w:lang w:val="pt-BR"/>
        </w:rPr>
        <w:t>§ 9º do artigo 215</w:t>
      </w:r>
      <w:r>
        <w:rPr>
          <w:rFonts w:cs="Arial"/>
          <w:lang w:val="pt-BR"/>
        </w:rPr>
        <w:t xml:space="preserve"> da Instrução Normativa nº 1.700, de 2017 (“</w:t>
      </w:r>
      <w:r w:rsidRPr="00752CD9">
        <w:rPr>
          <w:rFonts w:cs="Arial"/>
          <w:b/>
          <w:lang w:val="pt-BR"/>
        </w:rPr>
        <w:t>IN 1.700</w:t>
      </w:r>
      <w:r>
        <w:rPr>
          <w:rFonts w:cs="Arial"/>
          <w:lang w:val="pt-BR"/>
        </w:rPr>
        <w:t>”), o</w:t>
      </w:r>
      <w:r w:rsidR="00222DFF">
        <w:rPr>
          <w:rFonts w:cs="Arial"/>
          <w:lang w:val="pt-BR"/>
        </w:rPr>
        <w:t xml:space="preserve"> Auto Posto São Paulo </w:t>
      </w:r>
      <w:r>
        <w:rPr>
          <w:rFonts w:cs="Arial"/>
          <w:lang w:val="pt-BR"/>
        </w:rPr>
        <w:t xml:space="preserve">optou por reconhecer as receitas de suas atividades </w:t>
      </w:r>
      <w:r w:rsidR="000216EF">
        <w:rPr>
          <w:rFonts w:cs="Arial"/>
          <w:lang w:val="pt-BR"/>
        </w:rPr>
        <w:t>de acordo com o regime de caixa (isto é, de acordo com o efetivo recebimento financeiro, em dinheiro, do resultado de suas atividades).</w:t>
      </w:r>
    </w:p>
    <w:p w:rsidR="000216EF" w:rsidRDefault="000216EF" w:rsidP="006936A0">
      <w:pPr>
        <w:spacing w:after="0" w:line="240" w:lineRule="auto"/>
        <w:jc w:val="both"/>
        <w:rPr>
          <w:rFonts w:cs="Arial"/>
          <w:lang w:val="pt-BR"/>
        </w:rPr>
      </w:pPr>
    </w:p>
    <w:p w:rsidR="006936A0" w:rsidRDefault="00222DFF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Assuma para os fins deste </w:t>
      </w:r>
      <w:r w:rsidR="000216EF">
        <w:rPr>
          <w:rFonts w:cs="Arial"/>
          <w:lang w:val="pt-BR"/>
        </w:rPr>
        <w:t xml:space="preserve">exercício que todas as transações foram pagas ao Auto Posto São Paulo imediatamente e em dinheiro, dentro dos períodos em que ocorreram tal como indicado acima, </w:t>
      </w:r>
      <w:r w:rsidR="000216EF" w:rsidRPr="000216EF">
        <w:rPr>
          <w:rFonts w:cs="Arial"/>
          <w:u w:val="single"/>
          <w:lang w:val="pt-BR"/>
        </w:rPr>
        <w:t>EXCETO</w:t>
      </w:r>
      <w:r w:rsidR="000216EF">
        <w:rPr>
          <w:rFonts w:cs="Arial"/>
          <w:lang w:val="pt-BR"/>
        </w:rPr>
        <w:t xml:space="preserve"> em relação a venda d</w:t>
      </w:r>
      <w:r w:rsidR="00C33ECA">
        <w:rPr>
          <w:rFonts w:cs="Arial"/>
          <w:lang w:val="pt-BR"/>
        </w:rPr>
        <w:t xml:space="preserve">as estufas de alimentos quentes </w:t>
      </w:r>
      <w:r w:rsidR="000216EF">
        <w:rPr>
          <w:rFonts w:cs="Arial"/>
          <w:lang w:val="pt-BR"/>
        </w:rPr>
        <w:t>r</w:t>
      </w:r>
      <w:r w:rsidR="00E663C0">
        <w:rPr>
          <w:rFonts w:cs="Arial"/>
          <w:lang w:val="pt-BR"/>
        </w:rPr>
        <w:t>ealizada no 4º trimestre de 2018</w:t>
      </w:r>
      <w:r w:rsidR="000216EF">
        <w:rPr>
          <w:rFonts w:cs="Arial"/>
          <w:lang w:val="pt-BR"/>
        </w:rPr>
        <w:t>, que foi realizada em duas prestações, a primeira com ven</w:t>
      </w:r>
      <w:r w:rsidR="00E663C0">
        <w:rPr>
          <w:rFonts w:cs="Arial"/>
          <w:lang w:val="pt-BR"/>
        </w:rPr>
        <w:t>cimento somente em abril de 2019</w:t>
      </w:r>
      <w:r w:rsidR="000216EF">
        <w:rPr>
          <w:rFonts w:cs="Arial"/>
          <w:lang w:val="pt-BR"/>
        </w:rPr>
        <w:t xml:space="preserve"> e a segunda </w:t>
      </w:r>
      <w:r w:rsidR="00E663C0">
        <w:rPr>
          <w:rFonts w:cs="Arial"/>
          <w:lang w:val="pt-BR"/>
        </w:rPr>
        <w:t>com vencimento em agosto de 2019</w:t>
      </w:r>
      <w:r w:rsidR="000216EF">
        <w:rPr>
          <w:rFonts w:cs="Arial"/>
          <w:lang w:val="pt-BR"/>
        </w:rPr>
        <w:t>.</w:t>
      </w:r>
    </w:p>
    <w:p w:rsidR="006936A0" w:rsidRDefault="006936A0" w:rsidP="006936A0">
      <w:pPr>
        <w:spacing w:after="0" w:line="240" w:lineRule="auto"/>
        <w:jc w:val="both"/>
        <w:rPr>
          <w:rFonts w:cs="Arial"/>
          <w:lang w:val="pt-BR"/>
        </w:rPr>
      </w:pPr>
    </w:p>
    <w:p w:rsidR="00211BE9" w:rsidRDefault="00211BE9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Estas informações estão consolidadas na DRE do Auto Posto Sã</w:t>
      </w:r>
      <w:r w:rsidR="00E663C0">
        <w:rPr>
          <w:rFonts w:cs="Arial"/>
          <w:lang w:val="pt-BR"/>
        </w:rPr>
        <w:t>o Paulo Ltda. para o ano de 2018</w:t>
      </w:r>
      <w:r>
        <w:rPr>
          <w:rFonts w:cs="Arial"/>
          <w:lang w:val="pt-BR"/>
        </w:rPr>
        <w:t>, transcrita na próxima folha.</w:t>
      </w:r>
    </w:p>
    <w:p w:rsidR="00211BE9" w:rsidRDefault="00211BE9" w:rsidP="006936A0">
      <w:pPr>
        <w:spacing w:after="0" w:line="240" w:lineRule="auto"/>
        <w:jc w:val="both"/>
        <w:rPr>
          <w:rFonts w:cs="Arial"/>
          <w:lang w:val="pt-BR"/>
        </w:rPr>
      </w:pPr>
    </w:p>
    <w:p w:rsidR="001379FC" w:rsidRDefault="001379FC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Considerando as informações disponibilizadas acima:</w:t>
      </w:r>
    </w:p>
    <w:p w:rsidR="001379FC" w:rsidRDefault="001379FC" w:rsidP="006936A0">
      <w:pPr>
        <w:spacing w:after="0" w:line="240" w:lineRule="auto"/>
        <w:jc w:val="both"/>
        <w:rPr>
          <w:rFonts w:cs="Arial"/>
          <w:lang w:val="pt-BR"/>
        </w:rPr>
      </w:pPr>
    </w:p>
    <w:p w:rsidR="001379FC" w:rsidRDefault="00211BE9" w:rsidP="00C33ECA">
      <w:pPr>
        <w:spacing w:after="240" w:line="240" w:lineRule="auto"/>
        <w:ind w:left="284"/>
        <w:jc w:val="both"/>
        <w:rPr>
          <w:rFonts w:cs="Arial"/>
          <w:lang w:val="pt-BR"/>
        </w:rPr>
      </w:pPr>
      <w:r>
        <w:rPr>
          <w:rFonts w:cs="Arial"/>
          <w:b/>
          <w:lang w:val="pt-BR"/>
        </w:rPr>
        <w:t>a</w:t>
      </w:r>
      <w:r w:rsidR="001379FC" w:rsidRPr="006936A0">
        <w:rPr>
          <w:rFonts w:cs="Arial"/>
          <w:b/>
          <w:lang w:val="pt-BR"/>
        </w:rPr>
        <w:t>)</w:t>
      </w:r>
      <w:r w:rsidR="001379FC">
        <w:rPr>
          <w:rFonts w:cs="Arial"/>
          <w:lang w:val="pt-BR"/>
        </w:rPr>
        <w:t xml:space="preserve"> Calcule o IRPJ e CSLL devidos de acordo com o regime de tributação adotado pelo Auto Posto São Paulo;</w:t>
      </w:r>
    </w:p>
    <w:p w:rsidR="001379FC" w:rsidRDefault="00211BE9" w:rsidP="00C33ECA">
      <w:pPr>
        <w:spacing w:after="240" w:line="240" w:lineRule="auto"/>
        <w:ind w:left="284"/>
        <w:jc w:val="both"/>
        <w:rPr>
          <w:rFonts w:cs="Arial"/>
          <w:lang w:val="pt-BR"/>
        </w:rPr>
      </w:pPr>
      <w:r>
        <w:rPr>
          <w:rFonts w:cs="Arial"/>
          <w:b/>
          <w:lang w:val="pt-BR"/>
        </w:rPr>
        <w:t>b</w:t>
      </w:r>
      <w:r w:rsidR="001379FC" w:rsidRPr="006936A0">
        <w:rPr>
          <w:rFonts w:cs="Arial"/>
          <w:b/>
          <w:lang w:val="pt-BR"/>
        </w:rPr>
        <w:t>)</w:t>
      </w:r>
      <w:r w:rsidR="001379FC">
        <w:rPr>
          <w:rFonts w:cs="Arial"/>
          <w:lang w:val="pt-BR"/>
        </w:rPr>
        <w:t xml:space="preserve"> Apure a sua margem de lucro operacional (receitas operacionais vs. custos/despesas operacionais);</w:t>
      </w:r>
    </w:p>
    <w:p w:rsidR="001379FC" w:rsidRDefault="00211BE9" w:rsidP="006936A0">
      <w:pPr>
        <w:spacing w:after="0" w:line="240" w:lineRule="auto"/>
        <w:ind w:left="284"/>
        <w:jc w:val="both"/>
        <w:rPr>
          <w:rFonts w:cs="Arial"/>
          <w:lang w:val="pt-BR"/>
        </w:rPr>
      </w:pPr>
      <w:r>
        <w:rPr>
          <w:rFonts w:cs="Arial"/>
          <w:b/>
          <w:lang w:val="pt-BR"/>
        </w:rPr>
        <w:t>c</w:t>
      </w:r>
      <w:r w:rsidR="001379FC" w:rsidRPr="006936A0">
        <w:rPr>
          <w:rFonts w:cs="Arial"/>
          <w:b/>
          <w:lang w:val="pt-BR"/>
        </w:rPr>
        <w:t>)</w:t>
      </w:r>
      <w:r w:rsidR="001379FC">
        <w:rPr>
          <w:rFonts w:cs="Arial"/>
          <w:lang w:val="pt-BR"/>
        </w:rPr>
        <w:t xml:space="preserve"> Considerando as informações constantes da DRE anual, calcule o valor do IRPJ e CSLL que seria devido pelo Auto Posto São Paulo assumindo que o resultado contábil auferido ao final do ano-calendário seria idêntico ao lucro real </w:t>
      </w:r>
      <w:r w:rsidR="006936A0">
        <w:rPr>
          <w:rFonts w:cs="Arial"/>
          <w:lang w:val="pt-BR"/>
        </w:rPr>
        <w:t>que seria apurado pelo Auto Posto São Paulo caso tivesse optado por esta forma de tributação</w:t>
      </w:r>
      <w:r w:rsidR="005A2419">
        <w:rPr>
          <w:rFonts w:cs="Arial"/>
          <w:lang w:val="pt-BR"/>
        </w:rPr>
        <w:t xml:space="preserve"> (ou seja, sem ajustes positivos ou negativos impostos pela legislação tributária ao lucro contábil)</w:t>
      </w:r>
      <w:r w:rsidR="006936A0">
        <w:rPr>
          <w:rFonts w:cs="Arial"/>
          <w:lang w:val="pt-BR"/>
        </w:rPr>
        <w:t>.</w:t>
      </w:r>
    </w:p>
    <w:p w:rsidR="001379FC" w:rsidRDefault="001379FC" w:rsidP="005E01A2">
      <w:pPr>
        <w:spacing w:after="0" w:line="240" w:lineRule="auto"/>
        <w:jc w:val="both"/>
        <w:rPr>
          <w:rFonts w:cs="Arial"/>
          <w:lang w:val="pt-BR"/>
        </w:rPr>
      </w:pPr>
    </w:p>
    <w:p w:rsidR="005D3316" w:rsidRDefault="005D3316" w:rsidP="005E01A2">
      <w:pPr>
        <w:spacing w:after="0" w:line="240" w:lineRule="auto"/>
        <w:jc w:val="both"/>
        <w:rPr>
          <w:rFonts w:cs="Arial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lang w:val="pt-BR"/>
        </w:rPr>
      </w:pPr>
    </w:p>
    <w:p w:rsidR="00812697" w:rsidRDefault="0081269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022E77" w:rsidRDefault="00022E77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180"/>
      </w:tblGrid>
      <w:tr w:rsidR="00211BE9" w:rsidRPr="00644597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DRE </w:t>
            </w:r>
            <w:r w:rsidR="00CB7256">
              <w:rPr>
                <w:rFonts w:cs="Calibri"/>
                <w:b/>
                <w:bCs/>
                <w:lang w:val="pt-BR" w:eastAsia="pt-BR"/>
              </w:rPr>
              <w:t xml:space="preserve">(anual) </w:t>
            </w:r>
            <w:r w:rsidRPr="00211BE9">
              <w:rPr>
                <w:rFonts w:cs="Calibri"/>
                <w:b/>
                <w:bCs/>
                <w:lang w:val="pt-BR" w:eastAsia="pt-BR"/>
              </w:rPr>
              <w:t>do Auto Posto São Paulo Ltda.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(+) Receita da venda de combustíveis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5.100.000,00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(+) Receita da venda de mercadorias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1.700.000,00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(+) Receita da prestação de serviços de borracharia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77.000,00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BRUTA 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6.877.000,00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(-) PIS</w:t>
            </w:r>
            <w:r w:rsidR="00326C74">
              <w:rPr>
                <w:rFonts w:cs="Calibri"/>
                <w:lang w:val="pt-BR" w:eastAsia="pt-BR"/>
              </w:rPr>
              <w:t xml:space="preserve"> *¹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44.</w:t>
            </w:r>
            <w:r w:rsidR="002260F7">
              <w:rPr>
                <w:rFonts w:cs="Calibri"/>
                <w:lang w:val="pt-BR" w:eastAsia="pt-BR"/>
              </w:rPr>
              <w:t>700</w:t>
            </w:r>
            <w:r w:rsidR="00326C74">
              <w:rPr>
                <w:rFonts w:cs="Calibri"/>
                <w:lang w:val="pt-BR" w:eastAsia="pt-BR"/>
              </w:rPr>
              <w:t>,</w:t>
            </w:r>
            <w:r w:rsidR="002260F7">
              <w:rPr>
                <w:rFonts w:cs="Calibri"/>
                <w:lang w:val="pt-BR" w:eastAsia="pt-BR"/>
              </w:rPr>
              <w:t>50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</w:t>
            </w:r>
            <w:r w:rsidR="002260F7">
              <w:rPr>
                <w:rFonts w:cs="Calibri"/>
                <w:lang w:val="pt-BR" w:eastAsia="pt-BR"/>
              </w:rPr>
              <w:t>COFINS</w:t>
            </w:r>
            <w:r w:rsidR="00326C74">
              <w:rPr>
                <w:rFonts w:cs="Calibri"/>
                <w:lang w:val="pt-BR" w:eastAsia="pt-BR"/>
              </w:rPr>
              <w:t xml:space="preserve"> *¹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20</w:t>
            </w:r>
            <w:r w:rsidR="002260F7">
              <w:rPr>
                <w:rFonts w:cs="Calibri"/>
                <w:lang w:val="pt-BR" w:eastAsia="pt-BR"/>
              </w:rPr>
              <w:t>6.310</w:t>
            </w:r>
            <w:r w:rsidRPr="00211BE9">
              <w:rPr>
                <w:rFonts w:cs="Calibri"/>
                <w:lang w:val="pt-BR" w:eastAsia="pt-BR"/>
              </w:rPr>
              <w:t>,00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LÍQUIDA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6.62</w:t>
            </w:r>
            <w:r w:rsidR="002260F7">
              <w:rPr>
                <w:rFonts w:cs="Calibri"/>
                <w:b/>
                <w:bCs/>
                <w:lang w:val="pt-BR" w:eastAsia="pt-BR"/>
              </w:rPr>
              <w:t>5</w:t>
            </w:r>
            <w:r w:rsidRPr="00211BE9">
              <w:rPr>
                <w:rFonts w:cs="Calibri"/>
                <w:b/>
                <w:bCs/>
                <w:lang w:val="pt-BR" w:eastAsia="pt-BR"/>
              </w:rPr>
              <w:t>.</w:t>
            </w:r>
            <w:r w:rsidR="002260F7">
              <w:rPr>
                <w:rFonts w:cs="Calibri"/>
                <w:b/>
                <w:bCs/>
                <w:lang w:val="pt-BR" w:eastAsia="pt-BR"/>
              </w:rPr>
              <w:t>989</w:t>
            </w:r>
            <w:r w:rsidRPr="00211BE9">
              <w:rPr>
                <w:rFonts w:cs="Calibri"/>
                <w:b/>
                <w:bCs/>
                <w:lang w:val="pt-BR" w:eastAsia="pt-BR"/>
              </w:rPr>
              <w:t>,</w:t>
            </w:r>
            <w:r w:rsidR="002260F7">
              <w:rPr>
                <w:rFonts w:cs="Calibri"/>
                <w:b/>
                <w:bCs/>
                <w:lang w:val="pt-BR" w:eastAsia="pt-BR"/>
              </w:rPr>
              <w:t>5</w:t>
            </w:r>
            <w:r w:rsidRPr="00211BE9">
              <w:rPr>
                <w:rFonts w:cs="Calibri"/>
                <w:b/>
                <w:bCs/>
                <w:lang w:val="pt-BR" w:eastAsia="pt-BR"/>
              </w:rPr>
              <w:t>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(-) Custo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772.</w:t>
            </w:r>
            <w:r w:rsidR="00326C74">
              <w:rPr>
                <w:rFonts w:cs="Calibri"/>
                <w:lang w:val="pt-BR" w:eastAsia="pt-BR"/>
              </w:rPr>
              <w:t>894,50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BRUTO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5.85</w:t>
            </w:r>
            <w:r w:rsidR="00326C74">
              <w:rPr>
                <w:rFonts w:cs="Calibri"/>
                <w:b/>
                <w:bCs/>
                <w:lang w:val="pt-BR" w:eastAsia="pt-BR"/>
              </w:rPr>
              <w:t>3</w:t>
            </w:r>
            <w:r w:rsidRPr="00211BE9">
              <w:rPr>
                <w:rFonts w:cs="Calibri"/>
                <w:b/>
                <w:bCs/>
                <w:lang w:val="pt-BR" w:eastAsia="pt-BR"/>
              </w:rPr>
              <w:t>.</w:t>
            </w:r>
            <w:r w:rsidR="00326C74">
              <w:rPr>
                <w:rFonts w:cs="Calibri"/>
                <w:b/>
                <w:bCs/>
                <w:lang w:val="pt-BR" w:eastAsia="pt-BR"/>
              </w:rPr>
              <w:t>095</w:t>
            </w:r>
            <w:r w:rsidRPr="00211BE9">
              <w:rPr>
                <w:rFonts w:cs="Calibri"/>
                <w:b/>
                <w:bCs/>
                <w:lang w:val="pt-BR" w:eastAsia="pt-BR"/>
              </w:rPr>
              <w:t>,00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(-) Despesas operacionais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3.31</w:t>
            </w:r>
            <w:r w:rsidR="00326C74">
              <w:rPr>
                <w:rFonts w:cs="Calibri"/>
                <w:lang w:val="pt-BR" w:eastAsia="pt-BR"/>
              </w:rPr>
              <w:t>1</w:t>
            </w:r>
            <w:r w:rsidRPr="00211BE9">
              <w:rPr>
                <w:rFonts w:cs="Calibri"/>
                <w:lang w:val="pt-BR" w:eastAsia="pt-BR"/>
              </w:rPr>
              <w:t>.8</w:t>
            </w:r>
            <w:r w:rsidR="00326C74">
              <w:rPr>
                <w:rFonts w:cs="Calibri"/>
                <w:lang w:val="pt-BR" w:eastAsia="pt-BR"/>
              </w:rPr>
              <w:t>95</w:t>
            </w:r>
            <w:r w:rsidRPr="00211BE9">
              <w:rPr>
                <w:rFonts w:cs="Calibri"/>
                <w:lang w:val="pt-BR" w:eastAsia="pt-BR"/>
              </w:rPr>
              <w:t>,00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OPERACIONAL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2.541.200,00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(+) RECEITAS NÃO OPERACIONAIS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CB7256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-</w:t>
            </w:r>
            <w:r w:rsidR="00211BE9" w:rsidRPr="00211BE9">
              <w:rPr>
                <w:rFonts w:cs="Calibri"/>
                <w:lang w:val="pt-BR" w:eastAsia="pt-BR"/>
              </w:rPr>
              <w:t> 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Ganho de capital alienação de ativos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657FDC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3</w:t>
            </w:r>
            <w:r w:rsidR="00211BE9" w:rsidRPr="00211BE9">
              <w:rPr>
                <w:rFonts w:cs="Calibri"/>
                <w:lang w:val="pt-BR" w:eastAsia="pt-BR"/>
              </w:rPr>
              <w:t>5.000,00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(+) RESULTADOS FINANCEIROS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CB7256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-</w:t>
            </w:r>
            <w:r w:rsidR="00211BE9" w:rsidRPr="00211BE9">
              <w:rPr>
                <w:rFonts w:cs="Calibri"/>
                <w:lang w:val="pt-BR" w:eastAsia="pt-BR"/>
              </w:rPr>
              <w:t> 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Rendimento de aplicação de renda fixa (bruto)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31.000,00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(=) RESULTADO NO PERÍODO (antes do IR/CS)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7364EB" w:rsidP="00211BE9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2.607</w:t>
            </w:r>
            <w:r w:rsidR="00211BE9" w:rsidRPr="00211BE9">
              <w:rPr>
                <w:rFonts w:cs="Calibri"/>
                <w:b/>
                <w:bCs/>
                <w:lang w:val="pt-BR" w:eastAsia="pt-BR"/>
              </w:rPr>
              <w:t>.200,00</w:t>
            </w:r>
          </w:p>
        </w:tc>
      </w:tr>
      <w:tr w:rsidR="00211BE9" w:rsidRPr="00644597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(-) Provisão para IRPJ e CSLL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 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(=) RESULTADO LÍQUIDO DO EXERCÍCIO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 </w:t>
            </w:r>
          </w:p>
        </w:tc>
      </w:tr>
      <w:tr w:rsidR="00211BE9" w:rsidRPr="00211BE9" w:rsidTr="00211BE9">
        <w:trPr>
          <w:trHeight w:val="79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Margem de lucro operacional </w:t>
            </w:r>
            <w:r w:rsidRPr="00211BE9">
              <w:rPr>
                <w:rFonts w:cs="Calibri"/>
                <w:lang w:val="pt-BR" w:eastAsia="pt-BR"/>
              </w:rPr>
              <w:br/>
            </w:r>
            <w:r w:rsidRPr="00211BE9">
              <w:rPr>
                <w:rFonts w:cs="Calibri"/>
                <w:sz w:val="18"/>
                <w:szCs w:val="18"/>
                <w:lang w:val="pt-BR" w:eastAsia="pt-BR"/>
              </w:rPr>
              <w:t>(receitas operacionais vs. custos/despesas operacionais)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9" w:rsidRPr="00211BE9" w:rsidRDefault="00835512" w:rsidP="00211BE9">
            <w:pPr>
              <w:spacing w:after="0" w:line="240" w:lineRule="auto"/>
              <w:jc w:val="center"/>
              <w:rPr>
                <w:rFonts w:cs="Calibri"/>
                <w:sz w:val="44"/>
                <w:szCs w:val="44"/>
                <w:lang w:val="pt-BR" w:eastAsia="pt-BR"/>
              </w:rPr>
            </w:pPr>
            <w:r>
              <w:rPr>
                <w:rFonts w:cs="Calibri"/>
                <w:sz w:val="44"/>
                <w:szCs w:val="44"/>
                <w:lang w:val="pt-BR" w:eastAsia="pt-BR"/>
              </w:rPr>
              <w:t>38</w:t>
            </w:r>
            <w:r w:rsidR="00211BE9" w:rsidRPr="00211BE9">
              <w:rPr>
                <w:rFonts w:cs="Calibri"/>
                <w:sz w:val="44"/>
                <w:szCs w:val="44"/>
                <w:lang w:val="pt-BR" w:eastAsia="pt-BR"/>
              </w:rPr>
              <w:t>%</w:t>
            </w:r>
          </w:p>
        </w:tc>
      </w:tr>
      <w:tr w:rsidR="00211BE9" w:rsidRPr="00211BE9" w:rsidTr="00211BE9">
        <w:trPr>
          <w:trHeight w:val="402"/>
          <w:jc w:val="center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cs="Calibri"/>
                <w:lang w:val="pt-BR" w:eastAsia="pt-B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9" w:rsidRPr="00211BE9" w:rsidRDefault="00211BE9" w:rsidP="00211BE9">
            <w:pPr>
              <w:spacing w:after="0" w:line="240" w:lineRule="auto"/>
              <w:rPr>
                <w:rFonts w:cs="Calibri"/>
                <w:sz w:val="44"/>
                <w:szCs w:val="44"/>
                <w:lang w:val="pt-BR" w:eastAsia="pt-BR"/>
              </w:rPr>
            </w:pPr>
          </w:p>
        </w:tc>
      </w:tr>
    </w:tbl>
    <w:p w:rsidR="00211BE9" w:rsidRPr="00326C74" w:rsidRDefault="00326C74" w:rsidP="00326C74">
      <w:pPr>
        <w:spacing w:before="80" w:after="0" w:line="240" w:lineRule="auto"/>
        <w:ind w:left="1276" w:right="1293" w:hanging="23"/>
        <w:jc w:val="both"/>
        <w:rPr>
          <w:rFonts w:cs="Arial"/>
          <w:sz w:val="18"/>
          <w:szCs w:val="18"/>
          <w:lang w:val="pt-BR"/>
        </w:rPr>
      </w:pPr>
      <w:r w:rsidRPr="00326C74">
        <w:rPr>
          <w:rFonts w:cs="Arial"/>
          <w:sz w:val="18"/>
          <w:szCs w:val="18"/>
          <w:lang w:val="pt-BR"/>
        </w:rPr>
        <w:t>*¹ Cálculo ilustrativo sobre a Receita Bruta Total, desconsiderando quaisquer deduções autorizadas pela legislação tributária</w:t>
      </w: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211BE9" w:rsidRDefault="00211BE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405A" w:rsidRDefault="0044405A" w:rsidP="0044405A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:rsidR="0044405A" w:rsidRDefault="0044405A" w:rsidP="0044405A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:rsidR="0044405A" w:rsidRPr="005D3316" w:rsidRDefault="0044405A" w:rsidP="0044405A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 w:rsidRPr="005D3316">
        <w:rPr>
          <w:rFonts w:cs="Arial"/>
          <w:b/>
          <w:u w:val="single"/>
          <w:lang w:val="pt-BR"/>
        </w:rPr>
        <w:t>FOLHA DE RESPOSTAS</w:t>
      </w:r>
    </w:p>
    <w:p w:rsidR="0044405A" w:rsidRDefault="0044405A" w:rsidP="0044405A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405A" w:rsidRPr="005A2419" w:rsidRDefault="0044405A" w:rsidP="0044405A">
      <w:pPr>
        <w:spacing w:after="0" w:line="240" w:lineRule="auto"/>
        <w:jc w:val="both"/>
        <w:rPr>
          <w:rFonts w:cs="Arial"/>
          <w:u w:val="single"/>
          <w:lang w:val="pt-BR"/>
        </w:rPr>
      </w:pPr>
      <w:r w:rsidRPr="005A2419">
        <w:rPr>
          <w:rFonts w:cs="Arial"/>
          <w:u w:val="single"/>
          <w:lang w:val="pt-BR"/>
        </w:rPr>
        <w:t>Apuração do lucro presumido</w:t>
      </w:r>
    </w:p>
    <w:p w:rsidR="0044405A" w:rsidRDefault="0044405A" w:rsidP="0044405A">
      <w:pPr>
        <w:spacing w:after="0" w:line="240" w:lineRule="auto"/>
        <w:jc w:val="both"/>
        <w:rPr>
          <w:rFonts w:cs="Arial"/>
          <w:lang w:val="pt-BR"/>
        </w:rPr>
      </w:pPr>
    </w:p>
    <w:p w:rsidR="0044405A" w:rsidRDefault="0044405A" w:rsidP="0044405A">
      <w:pPr>
        <w:spacing w:after="0" w:line="240" w:lineRule="auto"/>
        <w:jc w:val="both"/>
        <w:rPr>
          <w:rFonts w:cs="Arial"/>
          <w:lang w:val="pt-BR"/>
        </w:rPr>
      </w:pPr>
    </w:p>
    <w:tbl>
      <w:tblPr>
        <w:tblW w:w="10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1310"/>
        <w:gridCol w:w="186"/>
        <w:gridCol w:w="1240"/>
        <w:gridCol w:w="1240"/>
        <w:gridCol w:w="146"/>
        <w:gridCol w:w="1240"/>
        <w:gridCol w:w="1240"/>
      </w:tblGrid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sz w:val="20"/>
                <w:szCs w:val="20"/>
                <w:lang w:val="pt-BR" w:eastAsia="pt-BR"/>
              </w:rPr>
              <w:t>Cálculo do lucro presumido no 1º Trimestre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IRPJ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CSLL</w:t>
            </w:r>
          </w:p>
        </w:tc>
      </w:tr>
      <w:tr w:rsidR="0044405A" w:rsidRPr="00F02F4E" w:rsidTr="0044405A">
        <w:trPr>
          <w:trHeight w:val="79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Receita Bruta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Valor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 xml:space="preserve">Coeficiente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Base de cálculo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 xml:space="preserve">Coeficiente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Base de cálculo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Venda de combustíveis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BD5FC5" w:rsidRDefault="0044405A" w:rsidP="0044405A">
            <w:pPr>
              <w:spacing w:after="0" w:line="240" w:lineRule="auto"/>
              <w:jc w:val="right"/>
            </w:pPr>
            <w:r w:rsidRPr="00BD5FC5">
              <w:t>1.200.000,00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D01F70" w:rsidRDefault="0044405A" w:rsidP="0044405A">
            <w:pPr>
              <w:spacing w:after="0" w:line="240" w:lineRule="auto"/>
              <w:jc w:val="right"/>
            </w:pPr>
            <w:r w:rsidRPr="00D01F70">
              <w:t>1,60%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D01F70" w:rsidRDefault="0044405A" w:rsidP="0044405A">
            <w:pPr>
              <w:spacing w:after="0" w:line="240" w:lineRule="auto"/>
              <w:jc w:val="right"/>
            </w:pPr>
            <w:r w:rsidRPr="00D01F70">
              <w:t>19.200,00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4C67CE" w:rsidRDefault="0044405A" w:rsidP="0044405A">
            <w:pPr>
              <w:spacing w:after="0" w:line="240" w:lineRule="auto"/>
              <w:jc w:val="right"/>
            </w:pPr>
            <w:r w:rsidRPr="004C67CE">
              <w:t>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4C67CE" w:rsidRDefault="0044405A" w:rsidP="0044405A">
            <w:pPr>
              <w:spacing w:after="0" w:line="240" w:lineRule="auto"/>
              <w:jc w:val="right"/>
            </w:pPr>
            <w:r w:rsidRPr="004C67CE">
              <w:t>144.000,00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Venda de mercadorias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BD5FC5" w:rsidRDefault="0044405A" w:rsidP="0044405A">
            <w:pPr>
              <w:spacing w:after="0" w:line="240" w:lineRule="auto"/>
              <w:jc w:val="right"/>
            </w:pPr>
            <w:r w:rsidRPr="00BD5FC5">
              <w:t>500.000,00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D01F70" w:rsidRDefault="0044405A" w:rsidP="0044405A">
            <w:pPr>
              <w:spacing w:after="0" w:line="240" w:lineRule="auto"/>
              <w:jc w:val="right"/>
            </w:pPr>
            <w:r w:rsidRPr="00D01F70">
              <w:t>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D01F70" w:rsidRDefault="0044405A" w:rsidP="0044405A">
            <w:pPr>
              <w:spacing w:after="0" w:line="240" w:lineRule="auto"/>
              <w:jc w:val="right"/>
            </w:pPr>
            <w:r w:rsidRPr="00D01F70">
              <w:t>40.000,00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4C67CE" w:rsidRDefault="0044405A" w:rsidP="0044405A">
            <w:pPr>
              <w:spacing w:after="0" w:line="240" w:lineRule="auto"/>
              <w:jc w:val="right"/>
            </w:pPr>
            <w:r w:rsidRPr="004C67CE">
              <w:t>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4C67CE" w:rsidRDefault="0044405A" w:rsidP="0044405A">
            <w:pPr>
              <w:spacing w:after="0" w:line="240" w:lineRule="auto"/>
              <w:jc w:val="right"/>
            </w:pPr>
            <w:r w:rsidRPr="004C67CE">
              <w:t>60.000,00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Serviços de borracharia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BD5FC5" w:rsidRDefault="0044405A" w:rsidP="0044405A">
            <w:pPr>
              <w:spacing w:after="0" w:line="240" w:lineRule="auto"/>
              <w:jc w:val="right"/>
            </w:pPr>
            <w:r w:rsidRPr="00BD5FC5">
              <w:t>20.000,00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D01F70" w:rsidRDefault="0044405A" w:rsidP="0044405A">
            <w:pPr>
              <w:spacing w:after="0" w:line="240" w:lineRule="auto"/>
              <w:jc w:val="right"/>
            </w:pPr>
            <w:r w:rsidRPr="00D01F70">
              <w:t>32%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D01F70" w:rsidRDefault="0044405A" w:rsidP="0044405A">
            <w:pPr>
              <w:spacing w:after="0" w:line="240" w:lineRule="auto"/>
              <w:jc w:val="right"/>
            </w:pPr>
            <w:r w:rsidRPr="00D01F70">
              <w:t>6.400,00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4C67CE" w:rsidRDefault="0044405A" w:rsidP="0044405A">
            <w:pPr>
              <w:spacing w:after="0" w:line="240" w:lineRule="auto"/>
              <w:jc w:val="right"/>
            </w:pPr>
            <w:r w:rsidRPr="004C67CE">
              <w:t>32%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4C67CE" w:rsidRDefault="0044405A" w:rsidP="0044405A">
            <w:pPr>
              <w:spacing w:after="0" w:line="240" w:lineRule="auto"/>
              <w:jc w:val="right"/>
            </w:pPr>
            <w:r w:rsidRPr="004C67CE">
              <w:t>6.400,00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SUBTOTAL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BD5FC5" w:rsidRDefault="0044405A" w:rsidP="0044405A">
            <w:pPr>
              <w:spacing w:after="0" w:line="240" w:lineRule="auto"/>
              <w:jc w:val="right"/>
            </w:pPr>
            <w:r w:rsidRPr="00BD5FC5">
              <w:t>1.720.000,00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D01F70" w:rsidRDefault="0044405A" w:rsidP="0044405A">
            <w:pPr>
              <w:spacing w:after="0" w:line="240" w:lineRule="auto"/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D01F70" w:rsidRDefault="0044405A" w:rsidP="0044405A">
            <w:pPr>
              <w:spacing w:after="0" w:line="240" w:lineRule="auto"/>
              <w:jc w:val="right"/>
            </w:pPr>
            <w:r w:rsidRPr="00D01F70">
              <w:t>65.600,00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4C67CE" w:rsidRDefault="0044405A" w:rsidP="0044405A">
            <w:pPr>
              <w:spacing w:after="0" w:line="240" w:lineRule="auto"/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4C67CE" w:rsidRDefault="0044405A" w:rsidP="0044405A">
            <w:pPr>
              <w:spacing w:after="0" w:line="240" w:lineRule="auto"/>
              <w:jc w:val="right"/>
            </w:pPr>
            <w:r w:rsidRPr="004C67CE">
              <w:t>210.400,00</w:t>
            </w:r>
          </w:p>
        </w:tc>
      </w:tr>
      <w:tr w:rsidR="0044405A" w:rsidRPr="00B8189B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(+) ganho na alienação de ativos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BD5FC5" w:rsidRDefault="0044405A" w:rsidP="0044405A">
            <w:pPr>
              <w:spacing w:after="0" w:line="240" w:lineRule="auto"/>
              <w:jc w:val="right"/>
            </w:pPr>
            <w:r w:rsidRPr="00BD5FC5">
              <w:t>20.000,00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D01F70" w:rsidRDefault="0044405A" w:rsidP="0044405A">
            <w:pPr>
              <w:spacing w:after="0" w:line="240" w:lineRule="auto"/>
              <w:jc w:val="right"/>
            </w:pPr>
            <w:r w:rsidRPr="00D01F70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D01F70" w:rsidRDefault="0044405A" w:rsidP="0044405A">
            <w:pPr>
              <w:spacing w:after="0" w:line="240" w:lineRule="auto"/>
              <w:jc w:val="right"/>
            </w:pPr>
            <w:r w:rsidRPr="00D01F70">
              <w:t>20.000,00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4C67CE" w:rsidRDefault="0044405A" w:rsidP="0044405A">
            <w:pPr>
              <w:spacing w:after="0" w:line="240" w:lineRule="auto"/>
              <w:jc w:val="right"/>
            </w:pPr>
            <w:r w:rsidRPr="004C67CE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4C67CE" w:rsidRDefault="0044405A" w:rsidP="0044405A">
            <w:pPr>
              <w:spacing w:after="0" w:line="240" w:lineRule="auto"/>
              <w:jc w:val="right"/>
            </w:pPr>
            <w:r w:rsidRPr="004C67CE">
              <w:t>20.000,00</w:t>
            </w:r>
          </w:p>
        </w:tc>
      </w:tr>
      <w:tr w:rsidR="0044405A" w:rsidRPr="00B8189B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(+) resultado positivo de op. financeiras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Default="0044405A" w:rsidP="0044405A">
            <w:pPr>
              <w:spacing w:after="0" w:line="240" w:lineRule="auto"/>
              <w:jc w:val="right"/>
            </w:pPr>
            <w:r w:rsidRPr="00BD5FC5">
              <w:t>1.000,00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D01F70" w:rsidRDefault="0044405A" w:rsidP="0044405A">
            <w:pPr>
              <w:spacing w:after="0" w:line="240" w:lineRule="auto"/>
              <w:jc w:val="right"/>
            </w:pPr>
            <w:r w:rsidRPr="00D01F70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Default="0044405A" w:rsidP="0044405A">
            <w:pPr>
              <w:spacing w:after="0" w:line="240" w:lineRule="auto"/>
              <w:jc w:val="right"/>
            </w:pPr>
            <w:r w:rsidRPr="00D01F70">
              <w:t>1.000,00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4C67CE" w:rsidRDefault="0044405A" w:rsidP="0044405A">
            <w:pPr>
              <w:spacing w:after="0" w:line="240" w:lineRule="auto"/>
              <w:jc w:val="right"/>
            </w:pPr>
            <w:r w:rsidRPr="004C67CE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Default="0044405A" w:rsidP="0044405A">
            <w:pPr>
              <w:spacing w:after="0" w:line="240" w:lineRule="auto"/>
              <w:jc w:val="right"/>
            </w:pPr>
            <w:r w:rsidRPr="004C67CE">
              <w:t>1.000,00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Base de cálculo do lucro presumido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  <w:r>
              <w:rPr>
                <w:rFonts w:cs="Calibri"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86.600,00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231.400,00</w:t>
            </w:r>
          </w:p>
        </w:tc>
      </w:tr>
      <w:tr w:rsidR="0044405A" w:rsidRPr="00F02F4E" w:rsidTr="0044405A">
        <w:trPr>
          <w:trHeight w:val="7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IRPJ 15%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D35871" w:rsidRDefault="0044405A" w:rsidP="0044405A">
            <w:pPr>
              <w:spacing w:after="0" w:line="240" w:lineRule="auto"/>
              <w:jc w:val="right"/>
            </w:pPr>
            <w:r w:rsidRPr="00D35871">
              <w:t>12.990,00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405A" w:rsidRPr="00A27E81" w:rsidRDefault="0044405A" w:rsidP="0044405A">
            <w:pPr>
              <w:spacing w:after="0" w:line="240" w:lineRule="auto"/>
              <w:jc w:val="right"/>
            </w:pPr>
            <w:r w:rsidRPr="00A27E81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Adicional do IRPJ (10%</w:t>
            </w:r>
            <w:r>
              <w:rPr>
                <w:rFonts w:cs="Calibri"/>
                <w:sz w:val="20"/>
                <w:szCs w:val="20"/>
                <w:lang w:val="pt-BR" w:eastAsia="pt-BR"/>
              </w:rPr>
              <w:t xml:space="preserve"> s/ parcela que exceder R$ 60 mil</w:t>
            </w: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D35871" w:rsidRDefault="0044405A" w:rsidP="0044405A">
            <w:pPr>
              <w:spacing w:after="0" w:line="240" w:lineRule="auto"/>
              <w:jc w:val="right"/>
            </w:pPr>
            <w:r w:rsidRPr="00D35871">
              <w:t>2.660,00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405A" w:rsidRPr="00A27E81" w:rsidRDefault="0044405A" w:rsidP="0044405A">
            <w:pPr>
              <w:spacing w:after="0" w:line="240" w:lineRule="auto"/>
              <w:jc w:val="right"/>
            </w:pPr>
            <w:r w:rsidRPr="00A27E81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IRPJ Apurado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D35871" w:rsidRDefault="0044405A" w:rsidP="0044405A">
            <w:pPr>
              <w:spacing w:after="0" w:line="240" w:lineRule="auto"/>
              <w:jc w:val="right"/>
            </w:pPr>
            <w:r w:rsidRPr="00D35871">
              <w:t>15.650,00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405A" w:rsidRPr="00A27E81" w:rsidRDefault="0044405A" w:rsidP="0044405A">
            <w:pPr>
              <w:spacing w:after="0" w:line="240" w:lineRule="auto"/>
              <w:jc w:val="right"/>
            </w:pPr>
            <w:r w:rsidRPr="00A27E81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(-) Deduções (IRRF s/ renda fixa)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405A" w:rsidRPr="00D35871" w:rsidRDefault="0044405A" w:rsidP="0044405A">
            <w:pPr>
              <w:spacing w:after="0" w:line="240" w:lineRule="auto"/>
              <w:jc w:val="right"/>
            </w:pPr>
            <w:r w:rsidRPr="00D35871">
              <w:t>-200</w:t>
            </w:r>
            <w:r w:rsidR="00835512">
              <w:t>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405A" w:rsidRPr="00A27E81" w:rsidRDefault="0044405A" w:rsidP="0044405A">
            <w:pPr>
              <w:spacing w:after="0" w:line="240" w:lineRule="auto"/>
              <w:jc w:val="right"/>
            </w:pPr>
            <w:r w:rsidRPr="00A27E81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IRPJ devido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D35871" w:rsidRDefault="0044405A" w:rsidP="0044405A">
            <w:pPr>
              <w:spacing w:after="0" w:line="240" w:lineRule="auto"/>
              <w:jc w:val="right"/>
            </w:pPr>
            <w:r w:rsidRPr="00D35871">
              <w:t>15.450,00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405A" w:rsidRPr="00A27E81" w:rsidRDefault="0044405A" w:rsidP="0044405A">
            <w:pPr>
              <w:spacing w:after="0" w:line="240" w:lineRule="auto"/>
              <w:jc w:val="right"/>
            </w:pPr>
            <w:r w:rsidRPr="00A27E81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CSLL 9%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405A" w:rsidRPr="00D35871" w:rsidRDefault="0044405A" w:rsidP="0044405A">
            <w:pPr>
              <w:spacing w:after="0" w:line="240" w:lineRule="auto"/>
              <w:jc w:val="right"/>
            </w:pPr>
            <w:r w:rsidRPr="00D35871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405A" w:rsidRPr="00A27E81" w:rsidRDefault="0044405A" w:rsidP="0044405A">
            <w:pPr>
              <w:spacing w:after="0" w:line="240" w:lineRule="auto"/>
              <w:jc w:val="right"/>
            </w:pPr>
            <w:r w:rsidRPr="00A27E81">
              <w:t>20.826,00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CSLL devida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4405A" w:rsidRPr="00D35871" w:rsidRDefault="0044405A" w:rsidP="0044405A">
            <w:pPr>
              <w:spacing w:after="0" w:line="240" w:lineRule="auto"/>
              <w:jc w:val="right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4405A" w:rsidRPr="00A27E81" w:rsidRDefault="0044405A" w:rsidP="0044405A">
            <w:pPr>
              <w:spacing w:after="0" w:line="240" w:lineRule="auto"/>
              <w:jc w:val="right"/>
            </w:pPr>
            <w:r w:rsidRPr="00A27E81">
              <w:t>20.826,00</w:t>
            </w:r>
          </w:p>
        </w:tc>
      </w:tr>
      <w:tr w:rsidR="0044405A" w:rsidRPr="00F02F4E" w:rsidTr="0044405A">
        <w:trPr>
          <w:trHeight w:val="7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Tributo devido (IRPJ + CSLL)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05A" w:rsidRPr="00B8189B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val="pt-BR" w:eastAsia="pt-BR"/>
              </w:rPr>
            </w:pPr>
            <w:r w:rsidRPr="00B8189B">
              <w:rPr>
                <w:rFonts w:cs="Calibri"/>
                <w:b/>
                <w:sz w:val="20"/>
                <w:szCs w:val="20"/>
                <w:lang w:val="pt-BR" w:eastAsia="pt-BR"/>
              </w:rPr>
              <w:t> 15.450,00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B8189B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20.826,00</w:t>
            </w:r>
          </w:p>
        </w:tc>
      </w:tr>
    </w:tbl>
    <w:p w:rsidR="0044405A" w:rsidRDefault="0044405A" w:rsidP="0044405A">
      <w:pPr>
        <w:spacing w:after="0" w:line="240" w:lineRule="auto"/>
        <w:jc w:val="both"/>
        <w:rPr>
          <w:rFonts w:cs="Arial"/>
          <w:lang w:val="pt-BR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  <w:lang w:val="pt-BR"/>
        </w:rPr>
      </w:pPr>
    </w:p>
    <w:p w:rsidR="0044405A" w:rsidRDefault="0044405A" w:rsidP="0044405A">
      <w:pPr>
        <w:spacing w:after="0" w:line="240" w:lineRule="auto"/>
        <w:jc w:val="both"/>
        <w:rPr>
          <w:rFonts w:cs="Arial"/>
          <w:lang w:val="pt-BR"/>
        </w:rPr>
      </w:pPr>
    </w:p>
    <w:tbl>
      <w:tblPr>
        <w:tblW w:w="10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1310"/>
        <w:gridCol w:w="186"/>
        <w:gridCol w:w="1240"/>
        <w:gridCol w:w="1240"/>
        <w:gridCol w:w="146"/>
        <w:gridCol w:w="1240"/>
        <w:gridCol w:w="1240"/>
      </w:tblGrid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sz w:val="20"/>
                <w:szCs w:val="20"/>
                <w:lang w:val="pt-BR" w:eastAsia="pt-BR"/>
              </w:rPr>
              <w:t xml:space="preserve">Cálculo do lucro presumido no </w:t>
            </w:r>
            <w:r>
              <w:rPr>
                <w:rFonts w:cs="Calibri"/>
                <w:b/>
                <w:sz w:val="20"/>
                <w:szCs w:val="20"/>
                <w:lang w:val="pt-BR" w:eastAsia="pt-BR"/>
              </w:rPr>
              <w:t>2</w:t>
            </w:r>
            <w:r w:rsidRPr="00F02F4E">
              <w:rPr>
                <w:rFonts w:cs="Calibri"/>
                <w:b/>
                <w:sz w:val="20"/>
                <w:szCs w:val="20"/>
                <w:lang w:val="pt-BR" w:eastAsia="pt-BR"/>
              </w:rPr>
              <w:t>º Trimestre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IRPJ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CSLL</w:t>
            </w:r>
          </w:p>
        </w:tc>
      </w:tr>
      <w:tr w:rsidR="0044405A" w:rsidRPr="00F02F4E" w:rsidTr="0044405A">
        <w:trPr>
          <w:trHeight w:val="79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Receita Bruta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Valor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 xml:space="preserve">Coeficiente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Base de cálculo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 xml:space="preserve">Coeficiente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Base de cálculo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Venda de combustíveis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3D2484" w:rsidRDefault="0044405A" w:rsidP="0044405A">
            <w:pPr>
              <w:spacing w:after="0"/>
              <w:jc w:val="right"/>
            </w:pPr>
            <w:r w:rsidRPr="003D2484">
              <w:t>1.300.000,00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FF67F3" w:rsidRDefault="0044405A" w:rsidP="0044405A">
            <w:pPr>
              <w:spacing w:after="0"/>
              <w:jc w:val="right"/>
            </w:pPr>
            <w:r w:rsidRPr="00FF67F3">
              <w:t>1,60%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FF67F3" w:rsidRDefault="0044405A" w:rsidP="0044405A">
            <w:pPr>
              <w:spacing w:after="0"/>
              <w:jc w:val="right"/>
            </w:pPr>
            <w:r w:rsidRPr="00FF67F3">
              <w:t>20.800,00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4D0DF3" w:rsidRDefault="0044405A" w:rsidP="0044405A">
            <w:pPr>
              <w:spacing w:after="0"/>
              <w:jc w:val="right"/>
            </w:pPr>
            <w:r w:rsidRPr="004D0DF3">
              <w:t>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4D0DF3" w:rsidRDefault="0044405A" w:rsidP="0044405A">
            <w:pPr>
              <w:spacing w:after="0"/>
              <w:jc w:val="right"/>
            </w:pPr>
            <w:r w:rsidRPr="004D0DF3">
              <w:t>156.000,00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Venda de mercadorias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3D2484" w:rsidRDefault="0044405A" w:rsidP="0044405A">
            <w:pPr>
              <w:spacing w:after="0"/>
              <w:jc w:val="right"/>
            </w:pPr>
            <w:r w:rsidRPr="003D2484">
              <w:t>400.000,00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FF67F3" w:rsidRDefault="0044405A" w:rsidP="0044405A">
            <w:pPr>
              <w:spacing w:after="0"/>
              <w:jc w:val="right"/>
            </w:pPr>
            <w:r w:rsidRPr="00FF67F3">
              <w:t>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FF67F3" w:rsidRDefault="0044405A" w:rsidP="0044405A">
            <w:pPr>
              <w:spacing w:after="0"/>
              <w:jc w:val="right"/>
            </w:pPr>
            <w:r w:rsidRPr="00FF67F3">
              <w:t>32.000,00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4D0DF3" w:rsidRDefault="0044405A" w:rsidP="0044405A">
            <w:pPr>
              <w:spacing w:after="0"/>
              <w:jc w:val="right"/>
            </w:pPr>
            <w:r w:rsidRPr="004D0DF3">
              <w:t>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4D0DF3" w:rsidRDefault="0044405A" w:rsidP="0044405A">
            <w:pPr>
              <w:spacing w:after="0"/>
              <w:jc w:val="right"/>
            </w:pPr>
            <w:r w:rsidRPr="004D0DF3">
              <w:t>48.000,00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Serviços de borracharia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3D2484" w:rsidRDefault="0044405A" w:rsidP="0044405A">
            <w:pPr>
              <w:spacing w:after="0"/>
              <w:jc w:val="right"/>
            </w:pPr>
            <w:r w:rsidRPr="003D2484">
              <w:t>12.000,00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FF67F3" w:rsidRDefault="0044405A" w:rsidP="0044405A">
            <w:pPr>
              <w:spacing w:after="0"/>
              <w:jc w:val="right"/>
            </w:pPr>
            <w:r w:rsidRPr="00FF67F3">
              <w:t>32%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FF67F3" w:rsidRDefault="0044405A" w:rsidP="0044405A">
            <w:pPr>
              <w:spacing w:after="0"/>
              <w:jc w:val="right"/>
            </w:pPr>
            <w:r w:rsidRPr="00FF67F3">
              <w:t>3.840,00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4D0DF3" w:rsidRDefault="0044405A" w:rsidP="0044405A">
            <w:pPr>
              <w:spacing w:after="0"/>
              <w:jc w:val="right"/>
            </w:pPr>
            <w:r w:rsidRPr="004D0DF3">
              <w:t>32%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4D0DF3" w:rsidRDefault="0044405A" w:rsidP="0044405A">
            <w:pPr>
              <w:spacing w:after="0"/>
              <w:jc w:val="right"/>
            </w:pPr>
            <w:r w:rsidRPr="004D0DF3">
              <w:t>3.840,00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SUBTOTAL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3D2484" w:rsidRDefault="0044405A" w:rsidP="0044405A">
            <w:pPr>
              <w:spacing w:after="0"/>
              <w:jc w:val="right"/>
            </w:pPr>
            <w:r w:rsidRPr="003D2484">
              <w:t>1.712.000,00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FF67F3" w:rsidRDefault="0044405A" w:rsidP="0044405A">
            <w:pPr>
              <w:spacing w:after="0"/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FF67F3" w:rsidRDefault="0044405A" w:rsidP="0044405A">
            <w:pPr>
              <w:spacing w:after="0"/>
              <w:jc w:val="right"/>
            </w:pPr>
            <w:r w:rsidRPr="00FF67F3">
              <w:t>56.640,00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4D0DF3" w:rsidRDefault="0044405A" w:rsidP="0044405A">
            <w:pPr>
              <w:spacing w:after="0"/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4D0DF3" w:rsidRDefault="0044405A" w:rsidP="0044405A">
            <w:pPr>
              <w:spacing w:after="0"/>
              <w:jc w:val="right"/>
            </w:pPr>
            <w:r w:rsidRPr="004D0DF3">
              <w:t>207.840,00</w:t>
            </w:r>
          </w:p>
        </w:tc>
      </w:tr>
      <w:tr w:rsidR="0044405A" w:rsidRPr="00B8189B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(+) ganho na alienação de ativos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720891" w:rsidRDefault="0044405A" w:rsidP="0044405A">
            <w:pPr>
              <w:spacing w:after="0"/>
              <w:jc w:val="right"/>
              <w:rPr>
                <w:lang w:val="pt-B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FF67F3" w:rsidRDefault="0044405A" w:rsidP="0044405A">
            <w:pPr>
              <w:spacing w:after="0"/>
              <w:jc w:val="right"/>
            </w:pPr>
            <w:r w:rsidRPr="00FF67F3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FF67F3" w:rsidRDefault="0044405A" w:rsidP="0044405A">
            <w:pPr>
              <w:spacing w:after="0"/>
              <w:jc w:val="right"/>
            </w:pPr>
            <w:r w:rsidRPr="00FF67F3"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4D0DF3" w:rsidRDefault="0044405A" w:rsidP="0044405A">
            <w:pPr>
              <w:spacing w:after="0"/>
              <w:jc w:val="right"/>
            </w:pPr>
            <w:r w:rsidRPr="004D0DF3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4D0DF3" w:rsidRDefault="0044405A" w:rsidP="0044405A">
            <w:pPr>
              <w:spacing w:after="0"/>
              <w:jc w:val="right"/>
            </w:pPr>
            <w:r w:rsidRPr="004D0DF3">
              <w:t>0,00</w:t>
            </w:r>
          </w:p>
        </w:tc>
      </w:tr>
      <w:tr w:rsidR="0044405A" w:rsidRPr="00B8189B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(+) resultado positivo de op. financeiras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Default="0044405A" w:rsidP="0044405A">
            <w:pPr>
              <w:spacing w:after="0"/>
              <w:jc w:val="right"/>
            </w:pPr>
            <w:r w:rsidRPr="003D2484">
              <w:t>10.000,00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FF67F3" w:rsidRDefault="0044405A" w:rsidP="0044405A">
            <w:pPr>
              <w:spacing w:after="0"/>
              <w:jc w:val="right"/>
            </w:pPr>
            <w:r w:rsidRPr="00FF67F3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Default="0044405A" w:rsidP="0044405A">
            <w:pPr>
              <w:spacing w:after="0"/>
              <w:jc w:val="right"/>
            </w:pPr>
            <w:r w:rsidRPr="00FF67F3">
              <w:t>10.000,00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4D0DF3" w:rsidRDefault="0044405A" w:rsidP="0044405A">
            <w:pPr>
              <w:spacing w:after="0"/>
              <w:jc w:val="right"/>
            </w:pPr>
            <w:r w:rsidRPr="004D0DF3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Default="0044405A" w:rsidP="0044405A">
            <w:pPr>
              <w:spacing w:after="0"/>
              <w:jc w:val="right"/>
            </w:pPr>
            <w:r w:rsidRPr="004D0DF3">
              <w:t>10.000,00</w:t>
            </w:r>
          </w:p>
        </w:tc>
      </w:tr>
      <w:tr w:rsidR="0044405A" w:rsidRPr="00F02F4E" w:rsidTr="00644597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Base de cálculo do lucro presumido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  <w:r>
              <w:rPr>
                <w:rFonts w:cs="Calibri"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66.640,00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217.840,00</w:t>
            </w:r>
          </w:p>
        </w:tc>
      </w:tr>
      <w:tr w:rsidR="0044405A" w:rsidRPr="00F02F4E" w:rsidTr="0044405A">
        <w:trPr>
          <w:trHeight w:val="7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  <w:t> 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IRPJ 15%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793843" w:rsidRDefault="0044405A" w:rsidP="0044405A">
            <w:pPr>
              <w:spacing w:after="0"/>
              <w:jc w:val="right"/>
            </w:pPr>
            <w:r w:rsidRPr="00793843">
              <w:t>9.996,00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4339DD" w:rsidRDefault="0044405A" w:rsidP="0044405A">
            <w:pPr>
              <w:spacing w:after="0"/>
              <w:jc w:val="right"/>
            </w:pPr>
            <w:r w:rsidRPr="004339DD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Adicional do IRPJ (10%</w:t>
            </w:r>
            <w:r>
              <w:rPr>
                <w:rFonts w:cs="Calibri"/>
                <w:sz w:val="20"/>
                <w:szCs w:val="20"/>
                <w:lang w:val="pt-BR" w:eastAsia="pt-BR"/>
              </w:rPr>
              <w:t xml:space="preserve"> s/ parcela que exceder R$ 60 mil</w:t>
            </w: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793843" w:rsidRDefault="0044405A" w:rsidP="0044405A">
            <w:pPr>
              <w:spacing w:after="0"/>
              <w:jc w:val="right"/>
            </w:pPr>
            <w:r w:rsidRPr="00793843">
              <w:t>664,00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4339DD" w:rsidRDefault="0044405A" w:rsidP="0044405A">
            <w:pPr>
              <w:spacing w:after="0"/>
              <w:jc w:val="right"/>
            </w:pPr>
            <w:r w:rsidRPr="004339DD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IRPJ Apurado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793843" w:rsidRDefault="0044405A" w:rsidP="0044405A">
            <w:pPr>
              <w:spacing w:after="0"/>
              <w:jc w:val="right"/>
            </w:pPr>
            <w:r w:rsidRPr="00793843">
              <w:t>10.660,00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4339DD" w:rsidRDefault="0044405A" w:rsidP="0044405A">
            <w:pPr>
              <w:spacing w:after="0"/>
              <w:jc w:val="right"/>
            </w:pPr>
            <w:r w:rsidRPr="004339DD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(-) Deduções (IRRF s/ renda fixa)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793843" w:rsidRDefault="0044405A" w:rsidP="0044405A">
            <w:pPr>
              <w:spacing w:after="0"/>
              <w:jc w:val="right"/>
            </w:pPr>
            <w:r w:rsidRPr="00793843">
              <w:t>-2</w:t>
            </w:r>
            <w:r>
              <w:t>.</w:t>
            </w:r>
            <w:r w:rsidRPr="00793843">
              <w:t>250</w:t>
            </w:r>
            <w:r w:rsidR="00835512">
              <w:t>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4339DD" w:rsidRDefault="0044405A" w:rsidP="0044405A">
            <w:pPr>
              <w:spacing w:after="0"/>
              <w:jc w:val="right"/>
            </w:pPr>
            <w:r w:rsidRPr="004339DD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IRPJ devido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793843" w:rsidRDefault="0044405A" w:rsidP="0044405A">
            <w:pPr>
              <w:spacing w:after="0"/>
              <w:jc w:val="right"/>
            </w:pPr>
            <w:r w:rsidRPr="00793843">
              <w:t>8.410,00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4339DD" w:rsidRDefault="0044405A" w:rsidP="0044405A">
            <w:pPr>
              <w:spacing w:after="0"/>
              <w:jc w:val="right"/>
            </w:pPr>
            <w:r w:rsidRPr="004339DD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CSLL 9%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793843" w:rsidRDefault="0044405A" w:rsidP="0044405A">
            <w:pPr>
              <w:spacing w:after="0"/>
              <w:jc w:val="right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4339DD" w:rsidRDefault="0044405A" w:rsidP="0044405A">
            <w:pPr>
              <w:spacing w:after="0"/>
              <w:jc w:val="right"/>
            </w:pPr>
            <w:r w:rsidRPr="004339DD">
              <w:t>19.605,60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CSLL devida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44405A" w:rsidRPr="00793843" w:rsidRDefault="0044405A" w:rsidP="0044405A">
            <w:pPr>
              <w:spacing w:after="0"/>
              <w:jc w:val="right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44405A" w:rsidRPr="004339DD" w:rsidRDefault="0044405A" w:rsidP="0044405A">
            <w:pPr>
              <w:spacing w:after="0"/>
              <w:jc w:val="right"/>
            </w:pPr>
            <w:r w:rsidRPr="004339DD">
              <w:t>19.605,60</w:t>
            </w:r>
          </w:p>
        </w:tc>
      </w:tr>
      <w:tr w:rsidR="0044405A" w:rsidRPr="00F02F4E" w:rsidTr="0044405A">
        <w:trPr>
          <w:trHeight w:val="7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Tributo devido (IRPJ + CSLL)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405A" w:rsidRPr="00B8189B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val="pt-BR" w:eastAsia="pt-BR"/>
              </w:rPr>
            </w:pPr>
            <w:r w:rsidRPr="00B8189B">
              <w:rPr>
                <w:rFonts w:cs="Calibri"/>
                <w:b/>
                <w:sz w:val="20"/>
                <w:szCs w:val="20"/>
                <w:lang w:val="pt-BR" w:eastAsia="pt-BR"/>
              </w:rPr>
              <w:t>8.410,00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19.605,60</w:t>
            </w:r>
          </w:p>
        </w:tc>
      </w:tr>
    </w:tbl>
    <w:p w:rsidR="0044405A" w:rsidRDefault="0044405A" w:rsidP="0044405A">
      <w:pPr>
        <w:spacing w:after="0" w:line="240" w:lineRule="auto"/>
        <w:jc w:val="both"/>
        <w:rPr>
          <w:lang w:val="pt-BR"/>
        </w:rPr>
      </w:pPr>
    </w:p>
    <w:p w:rsidR="00644597" w:rsidRDefault="00644597" w:rsidP="0044405A">
      <w:pPr>
        <w:spacing w:after="0" w:line="240" w:lineRule="auto"/>
        <w:jc w:val="both"/>
        <w:rPr>
          <w:lang w:val="pt-BR"/>
        </w:rPr>
      </w:pPr>
    </w:p>
    <w:p w:rsidR="0044405A" w:rsidRDefault="0044405A" w:rsidP="0044405A">
      <w:pPr>
        <w:spacing w:after="0" w:line="240" w:lineRule="auto"/>
        <w:jc w:val="both"/>
        <w:rPr>
          <w:lang w:val="pt-BR"/>
        </w:rPr>
      </w:pPr>
    </w:p>
    <w:tbl>
      <w:tblPr>
        <w:tblW w:w="10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1310"/>
        <w:gridCol w:w="186"/>
        <w:gridCol w:w="1240"/>
        <w:gridCol w:w="1240"/>
        <w:gridCol w:w="146"/>
        <w:gridCol w:w="1240"/>
        <w:gridCol w:w="1240"/>
      </w:tblGrid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sz w:val="20"/>
                <w:szCs w:val="20"/>
                <w:lang w:val="pt-BR" w:eastAsia="pt-BR"/>
              </w:rPr>
              <w:t xml:space="preserve">Cálculo do lucro presumido no </w:t>
            </w:r>
            <w:r>
              <w:rPr>
                <w:rFonts w:cs="Calibri"/>
                <w:b/>
                <w:sz w:val="20"/>
                <w:szCs w:val="20"/>
                <w:lang w:val="pt-BR" w:eastAsia="pt-BR"/>
              </w:rPr>
              <w:t>3</w:t>
            </w:r>
            <w:r w:rsidRPr="00F02F4E">
              <w:rPr>
                <w:rFonts w:cs="Calibri"/>
                <w:b/>
                <w:sz w:val="20"/>
                <w:szCs w:val="20"/>
                <w:lang w:val="pt-BR" w:eastAsia="pt-BR"/>
              </w:rPr>
              <w:t>º Trimestre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IRPJ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CSLL</w:t>
            </w:r>
          </w:p>
        </w:tc>
      </w:tr>
      <w:tr w:rsidR="0044405A" w:rsidRPr="00F02F4E" w:rsidTr="0044405A">
        <w:trPr>
          <w:trHeight w:val="79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Receita Bruta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Valor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 xml:space="preserve">Coeficiente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Base de cálculo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 xml:space="preserve">Coeficiente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Base de cálculo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Venda de combustíveis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956533" w:rsidRDefault="0044405A" w:rsidP="0044405A">
            <w:pPr>
              <w:spacing w:after="0"/>
              <w:jc w:val="right"/>
            </w:pPr>
            <w:r w:rsidRPr="00956533">
              <w:t>1.000.000,00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E739EA" w:rsidRDefault="0044405A" w:rsidP="0044405A">
            <w:pPr>
              <w:spacing w:after="0"/>
              <w:jc w:val="right"/>
            </w:pPr>
            <w:r w:rsidRPr="00E739EA">
              <w:t>1,60%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E739EA" w:rsidRDefault="0044405A" w:rsidP="0044405A">
            <w:pPr>
              <w:spacing w:after="0"/>
              <w:jc w:val="right"/>
            </w:pPr>
            <w:r w:rsidRPr="00E739EA">
              <w:t>16.000,00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7320F1" w:rsidRDefault="0044405A" w:rsidP="0044405A">
            <w:pPr>
              <w:spacing w:after="0"/>
              <w:jc w:val="right"/>
            </w:pPr>
            <w:r w:rsidRPr="007320F1">
              <w:t>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7320F1" w:rsidRDefault="0044405A" w:rsidP="0044405A">
            <w:pPr>
              <w:spacing w:after="0"/>
              <w:jc w:val="right"/>
            </w:pPr>
            <w:r w:rsidRPr="007320F1">
              <w:t>120.000,00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Venda de mercadorias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956533" w:rsidRDefault="0044405A" w:rsidP="0044405A">
            <w:pPr>
              <w:spacing w:after="0"/>
              <w:jc w:val="right"/>
            </w:pPr>
            <w:r w:rsidRPr="00956533">
              <w:t>300.000,00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E739EA" w:rsidRDefault="0044405A" w:rsidP="0044405A">
            <w:pPr>
              <w:spacing w:after="0"/>
              <w:jc w:val="right"/>
            </w:pPr>
            <w:r w:rsidRPr="00E739EA">
              <w:t>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E739EA" w:rsidRDefault="0044405A" w:rsidP="0044405A">
            <w:pPr>
              <w:spacing w:after="0"/>
              <w:jc w:val="right"/>
            </w:pPr>
            <w:r w:rsidRPr="00E739EA">
              <w:t>24.000,00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7320F1" w:rsidRDefault="0044405A" w:rsidP="0044405A">
            <w:pPr>
              <w:spacing w:after="0"/>
              <w:jc w:val="right"/>
            </w:pPr>
            <w:r w:rsidRPr="007320F1">
              <w:t>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7320F1" w:rsidRDefault="0044405A" w:rsidP="0044405A">
            <w:pPr>
              <w:spacing w:after="0"/>
              <w:jc w:val="right"/>
            </w:pPr>
            <w:r w:rsidRPr="007320F1">
              <w:t>36.000,00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Serviços de borracharia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956533" w:rsidRDefault="0044405A" w:rsidP="0044405A">
            <w:pPr>
              <w:spacing w:after="0"/>
              <w:jc w:val="right"/>
            </w:pPr>
            <w:r w:rsidRPr="00956533">
              <w:t>15.000,00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E739EA" w:rsidRDefault="0044405A" w:rsidP="0044405A">
            <w:pPr>
              <w:spacing w:after="0"/>
              <w:jc w:val="right"/>
            </w:pPr>
            <w:r w:rsidRPr="00E739EA">
              <w:t>32%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E739EA" w:rsidRDefault="0044405A" w:rsidP="0044405A">
            <w:pPr>
              <w:spacing w:after="0"/>
              <w:jc w:val="right"/>
            </w:pPr>
            <w:r w:rsidRPr="00E739EA">
              <w:t>4.800,00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7320F1" w:rsidRDefault="0044405A" w:rsidP="0044405A">
            <w:pPr>
              <w:spacing w:after="0"/>
              <w:jc w:val="right"/>
            </w:pPr>
            <w:r w:rsidRPr="007320F1">
              <w:t>32%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7320F1" w:rsidRDefault="0044405A" w:rsidP="0044405A">
            <w:pPr>
              <w:spacing w:after="0"/>
              <w:jc w:val="right"/>
            </w:pPr>
            <w:r w:rsidRPr="007320F1">
              <w:t>4.800,00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SUBTOTAL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956533" w:rsidRDefault="0044405A" w:rsidP="0044405A">
            <w:pPr>
              <w:spacing w:after="0"/>
              <w:jc w:val="right"/>
            </w:pPr>
            <w:r w:rsidRPr="00956533">
              <w:t>1.315.000,00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E739EA" w:rsidRDefault="0044405A" w:rsidP="0044405A">
            <w:pPr>
              <w:spacing w:after="0"/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E739EA" w:rsidRDefault="0044405A" w:rsidP="0044405A">
            <w:pPr>
              <w:spacing w:after="0"/>
              <w:jc w:val="right"/>
            </w:pPr>
            <w:r w:rsidRPr="00E739EA">
              <w:t>44.800,00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7320F1" w:rsidRDefault="0044405A" w:rsidP="0044405A">
            <w:pPr>
              <w:spacing w:after="0"/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7320F1" w:rsidRDefault="0044405A" w:rsidP="0044405A">
            <w:pPr>
              <w:spacing w:after="0"/>
              <w:jc w:val="right"/>
            </w:pPr>
            <w:r w:rsidRPr="007320F1">
              <w:t>160.800,00</w:t>
            </w:r>
          </w:p>
        </w:tc>
      </w:tr>
      <w:tr w:rsidR="0044405A" w:rsidRPr="00B8189B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(+) ganho na alienação de ativos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956533" w:rsidRDefault="0044405A" w:rsidP="0044405A">
            <w:pPr>
              <w:spacing w:after="0"/>
              <w:jc w:val="right"/>
            </w:pPr>
            <w:r w:rsidRPr="00956533">
              <w:t>8.000,00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E739EA" w:rsidRDefault="0044405A" w:rsidP="0044405A">
            <w:pPr>
              <w:spacing w:after="0"/>
              <w:jc w:val="right"/>
            </w:pPr>
            <w:r w:rsidRPr="00E739EA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E739EA" w:rsidRDefault="0044405A" w:rsidP="0044405A">
            <w:pPr>
              <w:spacing w:after="0"/>
              <w:jc w:val="right"/>
            </w:pPr>
            <w:r w:rsidRPr="00E739EA">
              <w:t>8.000,00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7320F1" w:rsidRDefault="0044405A" w:rsidP="0044405A">
            <w:pPr>
              <w:spacing w:after="0"/>
              <w:jc w:val="right"/>
            </w:pPr>
            <w:r w:rsidRPr="007320F1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7320F1" w:rsidRDefault="0044405A" w:rsidP="0044405A">
            <w:pPr>
              <w:spacing w:after="0"/>
              <w:jc w:val="right"/>
            </w:pPr>
            <w:r w:rsidRPr="007320F1">
              <w:t>8.000,00</w:t>
            </w:r>
          </w:p>
        </w:tc>
      </w:tr>
      <w:tr w:rsidR="0044405A" w:rsidRPr="00B8189B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(+) resultado positivo de op. financeiras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Default="0044405A" w:rsidP="0044405A">
            <w:pPr>
              <w:spacing w:after="0"/>
              <w:jc w:val="right"/>
            </w:pPr>
            <w:r w:rsidRPr="00956533">
              <w:t>10.000,00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E739EA" w:rsidRDefault="0044405A" w:rsidP="0044405A">
            <w:pPr>
              <w:spacing w:after="0"/>
              <w:jc w:val="right"/>
            </w:pPr>
            <w:r w:rsidRPr="00E739EA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Default="0044405A" w:rsidP="0044405A">
            <w:pPr>
              <w:spacing w:after="0"/>
              <w:jc w:val="right"/>
            </w:pPr>
            <w:r w:rsidRPr="00E739EA">
              <w:t>10.000,00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7320F1" w:rsidRDefault="0044405A" w:rsidP="0044405A">
            <w:pPr>
              <w:spacing w:after="0"/>
              <w:jc w:val="right"/>
            </w:pPr>
            <w:r w:rsidRPr="007320F1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Default="0044405A" w:rsidP="0044405A">
            <w:pPr>
              <w:spacing w:after="0"/>
              <w:jc w:val="right"/>
            </w:pPr>
            <w:r w:rsidRPr="007320F1">
              <w:t>10.000,00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Base de cálculo do lucro presumido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62.800,00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178.800,00</w:t>
            </w:r>
          </w:p>
        </w:tc>
      </w:tr>
      <w:tr w:rsidR="0044405A" w:rsidRPr="00F02F4E" w:rsidTr="0044405A">
        <w:trPr>
          <w:trHeight w:val="7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  <w:t> 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IRPJ 15%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083639" w:rsidRDefault="0044405A" w:rsidP="0044405A">
            <w:pPr>
              <w:spacing w:after="0"/>
              <w:jc w:val="right"/>
            </w:pPr>
            <w:r w:rsidRPr="00083639">
              <w:t>9.420,00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83545E" w:rsidRDefault="0044405A" w:rsidP="0044405A">
            <w:pPr>
              <w:spacing w:after="0"/>
              <w:jc w:val="right"/>
            </w:pPr>
            <w:r w:rsidRPr="0083545E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Adicional do IRPJ (10%</w:t>
            </w:r>
            <w:r>
              <w:rPr>
                <w:rFonts w:cs="Calibri"/>
                <w:sz w:val="20"/>
                <w:szCs w:val="20"/>
                <w:lang w:val="pt-BR" w:eastAsia="pt-BR"/>
              </w:rPr>
              <w:t xml:space="preserve"> s/ parcela que exceder R$ 60 mil</w:t>
            </w: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083639" w:rsidRDefault="0044405A" w:rsidP="0044405A">
            <w:pPr>
              <w:spacing w:after="0"/>
              <w:jc w:val="right"/>
            </w:pPr>
            <w:r w:rsidRPr="00083639">
              <w:t>280,00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83545E" w:rsidRDefault="0044405A" w:rsidP="0044405A">
            <w:pPr>
              <w:spacing w:after="0"/>
              <w:jc w:val="right"/>
            </w:pPr>
            <w:r w:rsidRPr="0083545E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IRPJ Apurado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083639" w:rsidRDefault="0044405A" w:rsidP="0044405A">
            <w:pPr>
              <w:spacing w:after="0"/>
              <w:jc w:val="right"/>
            </w:pPr>
            <w:r w:rsidRPr="00083639">
              <w:t>9.700,00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83545E" w:rsidRDefault="0044405A" w:rsidP="0044405A">
            <w:pPr>
              <w:spacing w:after="0"/>
              <w:jc w:val="right"/>
            </w:pPr>
            <w:r w:rsidRPr="0083545E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(-) Deduções (IRRF s/ renda fixa)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083639" w:rsidRDefault="0044405A" w:rsidP="0044405A">
            <w:pPr>
              <w:spacing w:after="0"/>
              <w:jc w:val="right"/>
            </w:pPr>
            <w:r w:rsidRPr="00083639">
              <w:t>-2</w:t>
            </w:r>
            <w:r>
              <w:t>.</w:t>
            </w:r>
            <w:r w:rsidRPr="00083639">
              <w:t>250</w:t>
            </w:r>
            <w:r w:rsidR="00835512">
              <w:t>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83545E" w:rsidRDefault="0044405A" w:rsidP="0044405A">
            <w:pPr>
              <w:spacing w:after="0"/>
              <w:jc w:val="right"/>
            </w:pPr>
            <w:r w:rsidRPr="0083545E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IRPJ devido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083639" w:rsidRDefault="0044405A" w:rsidP="0044405A">
            <w:pPr>
              <w:spacing w:after="0"/>
              <w:jc w:val="right"/>
            </w:pPr>
            <w:r w:rsidRPr="00083639">
              <w:t>7.450,00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83545E" w:rsidRDefault="0044405A" w:rsidP="0044405A">
            <w:pPr>
              <w:spacing w:after="0"/>
              <w:jc w:val="right"/>
            </w:pPr>
            <w:r w:rsidRPr="0083545E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CSLL 9%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083639" w:rsidRDefault="0044405A" w:rsidP="0044405A">
            <w:pPr>
              <w:spacing w:after="0"/>
              <w:jc w:val="right"/>
            </w:pPr>
            <w:r w:rsidRPr="00083639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83545E" w:rsidRDefault="0044405A" w:rsidP="0044405A">
            <w:pPr>
              <w:spacing w:after="0"/>
              <w:jc w:val="right"/>
            </w:pPr>
            <w:r w:rsidRPr="0083545E">
              <w:t>16.092,00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CSLL devida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44405A" w:rsidRPr="00083639" w:rsidRDefault="0044405A" w:rsidP="0044405A">
            <w:pPr>
              <w:spacing w:after="0"/>
              <w:jc w:val="right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44405A" w:rsidRPr="0083545E" w:rsidRDefault="0044405A" w:rsidP="0044405A">
            <w:pPr>
              <w:spacing w:after="0"/>
              <w:jc w:val="right"/>
            </w:pPr>
            <w:r w:rsidRPr="0083545E">
              <w:t>16.092,00</w:t>
            </w:r>
          </w:p>
        </w:tc>
      </w:tr>
      <w:tr w:rsidR="0044405A" w:rsidRPr="00F02F4E" w:rsidTr="0044405A">
        <w:trPr>
          <w:trHeight w:val="7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Tributo devido (IRPJ + CSLL)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405A" w:rsidRPr="00B8189B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val="pt-BR" w:eastAsia="pt-BR"/>
              </w:rPr>
            </w:pPr>
            <w:r w:rsidRPr="00B8189B">
              <w:rPr>
                <w:rFonts w:cs="Calibri"/>
                <w:b/>
                <w:sz w:val="20"/>
                <w:szCs w:val="20"/>
                <w:lang w:val="pt-BR" w:eastAsia="pt-BR"/>
              </w:rPr>
              <w:t>7.450,00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16.092,00</w:t>
            </w:r>
          </w:p>
        </w:tc>
      </w:tr>
    </w:tbl>
    <w:p w:rsidR="0044405A" w:rsidRDefault="0044405A" w:rsidP="0044405A">
      <w:pPr>
        <w:spacing w:after="0" w:line="240" w:lineRule="auto"/>
        <w:jc w:val="both"/>
        <w:rPr>
          <w:lang w:val="pt-BR"/>
        </w:rPr>
      </w:pPr>
    </w:p>
    <w:p w:rsidR="0044405A" w:rsidRDefault="0044405A" w:rsidP="0044405A">
      <w:pPr>
        <w:spacing w:after="0" w:line="240" w:lineRule="auto"/>
        <w:jc w:val="both"/>
        <w:rPr>
          <w:lang w:val="pt-BR"/>
        </w:rPr>
      </w:pPr>
    </w:p>
    <w:p w:rsidR="00644597" w:rsidRDefault="00644597" w:rsidP="0044405A">
      <w:pPr>
        <w:spacing w:after="0" w:line="240" w:lineRule="auto"/>
        <w:jc w:val="both"/>
        <w:rPr>
          <w:lang w:val="pt-BR"/>
        </w:rPr>
      </w:pPr>
    </w:p>
    <w:p w:rsidR="00644597" w:rsidRDefault="00644597" w:rsidP="0044405A">
      <w:pPr>
        <w:spacing w:after="0" w:line="240" w:lineRule="auto"/>
        <w:jc w:val="both"/>
        <w:rPr>
          <w:lang w:val="pt-BR"/>
        </w:rPr>
      </w:pPr>
    </w:p>
    <w:p w:rsidR="00644597" w:rsidRDefault="00644597" w:rsidP="0044405A">
      <w:pPr>
        <w:spacing w:after="0" w:line="240" w:lineRule="auto"/>
        <w:jc w:val="both"/>
        <w:rPr>
          <w:lang w:val="pt-BR"/>
        </w:rPr>
      </w:pPr>
    </w:p>
    <w:p w:rsidR="00644597" w:rsidRDefault="00644597" w:rsidP="0044405A">
      <w:pPr>
        <w:spacing w:after="0" w:line="240" w:lineRule="auto"/>
        <w:jc w:val="both"/>
        <w:rPr>
          <w:lang w:val="pt-BR"/>
        </w:rPr>
      </w:pPr>
    </w:p>
    <w:p w:rsidR="00644597" w:rsidRDefault="00644597" w:rsidP="0044405A">
      <w:pPr>
        <w:spacing w:after="0" w:line="240" w:lineRule="auto"/>
        <w:jc w:val="both"/>
        <w:rPr>
          <w:lang w:val="pt-BR"/>
        </w:rPr>
      </w:pPr>
    </w:p>
    <w:p w:rsidR="00644597" w:rsidRDefault="00644597" w:rsidP="0044405A">
      <w:pPr>
        <w:spacing w:after="0" w:line="240" w:lineRule="auto"/>
        <w:jc w:val="both"/>
        <w:rPr>
          <w:lang w:val="pt-BR"/>
        </w:rPr>
      </w:pPr>
    </w:p>
    <w:p w:rsidR="0044405A" w:rsidRDefault="0044405A" w:rsidP="0044405A">
      <w:pPr>
        <w:spacing w:after="0" w:line="240" w:lineRule="auto"/>
        <w:jc w:val="both"/>
        <w:rPr>
          <w:lang w:val="pt-BR"/>
        </w:rPr>
      </w:pPr>
    </w:p>
    <w:p w:rsidR="00644597" w:rsidRDefault="00644597" w:rsidP="0044405A">
      <w:pPr>
        <w:spacing w:after="0" w:line="240" w:lineRule="auto"/>
        <w:jc w:val="both"/>
        <w:rPr>
          <w:lang w:val="pt-BR"/>
        </w:rPr>
      </w:pPr>
    </w:p>
    <w:tbl>
      <w:tblPr>
        <w:tblW w:w="10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1310"/>
        <w:gridCol w:w="186"/>
        <w:gridCol w:w="1240"/>
        <w:gridCol w:w="1240"/>
        <w:gridCol w:w="146"/>
        <w:gridCol w:w="1240"/>
        <w:gridCol w:w="1240"/>
      </w:tblGrid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sz w:val="20"/>
                <w:szCs w:val="20"/>
                <w:lang w:val="pt-BR" w:eastAsia="pt-BR"/>
              </w:rPr>
              <w:t xml:space="preserve">Cálculo do lucro presumido no </w:t>
            </w:r>
            <w:r>
              <w:rPr>
                <w:rFonts w:cs="Calibri"/>
                <w:b/>
                <w:sz w:val="20"/>
                <w:szCs w:val="20"/>
                <w:lang w:val="pt-BR" w:eastAsia="pt-BR"/>
              </w:rPr>
              <w:t>4</w:t>
            </w:r>
            <w:r w:rsidRPr="00F02F4E">
              <w:rPr>
                <w:rFonts w:cs="Calibri"/>
                <w:b/>
                <w:sz w:val="20"/>
                <w:szCs w:val="20"/>
                <w:lang w:val="pt-BR" w:eastAsia="pt-BR"/>
              </w:rPr>
              <w:t>º Trimestre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IRPJ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CSLL</w:t>
            </w:r>
          </w:p>
        </w:tc>
      </w:tr>
      <w:tr w:rsidR="0044405A" w:rsidRPr="00F02F4E" w:rsidTr="0044405A">
        <w:trPr>
          <w:trHeight w:val="79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Receita Bruta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Valor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 xml:space="preserve">Coeficiente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Base de cálculo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 xml:space="preserve">Coeficiente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Base de cálculo</w:t>
            </w:r>
          </w:p>
        </w:tc>
      </w:tr>
      <w:tr w:rsidR="0044405A" w:rsidRPr="00F02F4E" w:rsidTr="009F3048">
        <w:trPr>
          <w:trHeight w:val="40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Venda de combustíveis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  <w:r w:rsidRPr="00B8189B">
              <w:rPr>
                <w:rFonts w:cs="Calibri"/>
                <w:sz w:val="20"/>
                <w:szCs w:val="20"/>
                <w:lang w:val="pt-BR" w:eastAsia="pt-BR"/>
              </w:rPr>
              <w:t>1.600.000,00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A811DD" w:rsidRDefault="0044405A" w:rsidP="0044405A">
            <w:pPr>
              <w:spacing w:after="0"/>
              <w:jc w:val="right"/>
            </w:pPr>
            <w:r w:rsidRPr="00A811DD">
              <w:t>1,60%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Default="0044405A" w:rsidP="0044405A">
            <w:pPr>
              <w:spacing w:after="0"/>
              <w:jc w:val="right"/>
            </w:pPr>
            <w:r w:rsidRPr="00A811DD">
              <w:t>25.600,00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DF3292" w:rsidRDefault="0044405A" w:rsidP="009F3048">
            <w:pPr>
              <w:spacing w:after="0"/>
              <w:jc w:val="right"/>
            </w:pPr>
            <w:r w:rsidRPr="00DF3292">
              <w:t>12%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Default="0044405A" w:rsidP="0044405A">
            <w:pPr>
              <w:spacing w:after="0"/>
              <w:jc w:val="right"/>
            </w:pPr>
            <w:r w:rsidRPr="00DF3292">
              <w:t>192.000,00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Venda de mercadorias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0836F0" w:rsidRDefault="0044405A" w:rsidP="0044405A">
            <w:pPr>
              <w:spacing w:after="0"/>
              <w:jc w:val="right"/>
            </w:pPr>
            <w:r w:rsidRPr="000836F0">
              <w:t>500.000,00</w:t>
            </w:r>
          </w:p>
        </w:tc>
        <w:tc>
          <w:tcPr>
            <w:tcW w:w="1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396700" w:rsidRDefault="0044405A" w:rsidP="0044405A">
            <w:pPr>
              <w:spacing w:after="0"/>
              <w:jc w:val="right"/>
            </w:pPr>
            <w:r w:rsidRPr="00396700">
              <w:t>8%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1A5C6B" w:rsidRDefault="0044405A" w:rsidP="0044405A">
            <w:pPr>
              <w:spacing w:after="0"/>
              <w:jc w:val="right"/>
            </w:pPr>
            <w:r w:rsidRPr="001A5C6B">
              <w:t>40.000,00</w:t>
            </w: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2D367C" w:rsidRDefault="0044405A" w:rsidP="0044405A">
            <w:pPr>
              <w:spacing w:after="0"/>
              <w:jc w:val="right"/>
            </w:pPr>
            <w:r w:rsidRPr="002D367C">
              <w:t>12%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533960" w:rsidRDefault="009F3048" w:rsidP="0044405A">
            <w:pPr>
              <w:spacing w:after="0"/>
              <w:jc w:val="right"/>
            </w:pPr>
            <w:r>
              <w:t>60.000,00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Serviços de borracharia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0836F0" w:rsidRDefault="0044405A" w:rsidP="0044405A">
            <w:pPr>
              <w:spacing w:after="0"/>
              <w:jc w:val="right"/>
            </w:pPr>
            <w:r w:rsidRPr="000836F0">
              <w:t>30.000,00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396700" w:rsidRDefault="0044405A" w:rsidP="0044405A">
            <w:pPr>
              <w:spacing w:after="0"/>
              <w:jc w:val="right"/>
            </w:pPr>
            <w:r w:rsidRPr="00396700">
              <w:t>32%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1A5C6B" w:rsidRDefault="0044405A" w:rsidP="0044405A">
            <w:pPr>
              <w:spacing w:after="0"/>
              <w:jc w:val="right"/>
            </w:pPr>
            <w:r w:rsidRPr="001A5C6B">
              <w:t>9.600,00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2D367C" w:rsidRDefault="0044405A" w:rsidP="0044405A">
            <w:pPr>
              <w:spacing w:after="0"/>
              <w:jc w:val="right"/>
            </w:pPr>
            <w:r w:rsidRPr="002D367C">
              <w:t>32%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533960" w:rsidRDefault="009F3048" w:rsidP="0044405A">
            <w:pPr>
              <w:spacing w:after="0"/>
              <w:jc w:val="right"/>
            </w:pPr>
            <w:r>
              <w:t>9.600,00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SUBTOTAL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0836F0" w:rsidRDefault="0044405A" w:rsidP="0044405A">
            <w:pPr>
              <w:spacing w:after="0"/>
              <w:jc w:val="right"/>
            </w:pPr>
            <w:r w:rsidRPr="000836F0">
              <w:t>2.130.000,00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396700" w:rsidRDefault="0044405A" w:rsidP="0044405A">
            <w:pPr>
              <w:spacing w:after="0"/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1A5C6B" w:rsidRDefault="0044405A" w:rsidP="0044405A">
            <w:pPr>
              <w:spacing w:after="0"/>
              <w:jc w:val="right"/>
            </w:pPr>
            <w:r w:rsidRPr="001A5C6B">
              <w:t>75.200,00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2D367C" w:rsidRDefault="0044405A" w:rsidP="0044405A">
            <w:pPr>
              <w:spacing w:after="0"/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533960" w:rsidRDefault="009F3048" w:rsidP="0044405A">
            <w:pPr>
              <w:spacing w:after="0"/>
              <w:jc w:val="right"/>
            </w:pPr>
            <w:r>
              <w:t>261.600,00</w:t>
            </w:r>
          </w:p>
        </w:tc>
      </w:tr>
      <w:tr w:rsidR="0044405A" w:rsidRPr="00B8189B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(+) ganho na alienação de ativos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0836F0" w:rsidRDefault="0044405A" w:rsidP="0044405A">
            <w:pPr>
              <w:spacing w:after="0"/>
              <w:jc w:val="right"/>
            </w:pPr>
            <w:r w:rsidRPr="000836F0">
              <w:t>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396700" w:rsidRDefault="0044405A" w:rsidP="0044405A">
            <w:pPr>
              <w:spacing w:after="0"/>
              <w:jc w:val="right"/>
            </w:pPr>
            <w:r w:rsidRPr="00396700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1A5C6B" w:rsidRDefault="0044405A" w:rsidP="0044405A">
            <w:pPr>
              <w:spacing w:after="0"/>
              <w:jc w:val="right"/>
            </w:pPr>
            <w:r w:rsidRPr="001A5C6B"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2D367C" w:rsidRDefault="0044405A" w:rsidP="0044405A">
            <w:pPr>
              <w:spacing w:after="0"/>
              <w:jc w:val="right"/>
            </w:pPr>
            <w:r w:rsidRPr="002D367C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533960" w:rsidRDefault="009F3048" w:rsidP="0044405A">
            <w:pPr>
              <w:spacing w:after="0"/>
              <w:jc w:val="right"/>
            </w:pPr>
            <w:r>
              <w:t>0,00</w:t>
            </w:r>
          </w:p>
        </w:tc>
      </w:tr>
      <w:tr w:rsidR="0044405A" w:rsidRPr="00B8189B" w:rsidTr="0044405A">
        <w:trPr>
          <w:trHeight w:val="40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(+) resultado positivo de op. financeiras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Default="0044405A" w:rsidP="0044405A">
            <w:pPr>
              <w:spacing w:after="0"/>
              <w:jc w:val="right"/>
            </w:pPr>
            <w:r w:rsidRPr="000836F0">
              <w:t>10.000,00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396700" w:rsidRDefault="0044405A" w:rsidP="0044405A">
            <w:pPr>
              <w:spacing w:after="0"/>
              <w:jc w:val="right"/>
            </w:pPr>
            <w:r w:rsidRPr="00396700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Default="0044405A" w:rsidP="0044405A">
            <w:pPr>
              <w:spacing w:after="0"/>
              <w:jc w:val="right"/>
            </w:pPr>
            <w:r w:rsidRPr="001A5C6B">
              <w:t>10.000,00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A" w:rsidRPr="002D367C" w:rsidRDefault="0044405A" w:rsidP="0044405A">
            <w:pPr>
              <w:spacing w:after="0"/>
              <w:jc w:val="right"/>
            </w:pPr>
            <w:r w:rsidRPr="002D367C"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5A" w:rsidRPr="00533960" w:rsidRDefault="009F3048" w:rsidP="0044405A">
            <w:pPr>
              <w:spacing w:after="0"/>
              <w:jc w:val="right"/>
            </w:pPr>
            <w:r>
              <w:t>10.000,00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Base de cálculo do lucro presumido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85.200,00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271.600,00</w:t>
            </w:r>
          </w:p>
        </w:tc>
      </w:tr>
      <w:tr w:rsidR="0044405A" w:rsidRPr="00F02F4E" w:rsidTr="0044405A">
        <w:trPr>
          <w:trHeight w:val="7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12"/>
                <w:szCs w:val="12"/>
                <w:lang w:val="pt-BR" w:eastAsia="pt-BR"/>
              </w:rPr>
              <w:t> 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IRPJ 15%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4E143E" w:rsidRDefault="0044405A" w:rsidP="0044405A">
            <w:pPr>
              <w:spacing w:after="0"/>
              <w:jc w:val="right"/>
            </w:pPr>
            <w:r w:rsidRPr="004E143E">
              <w:t>12.780,00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D03B2A" w:rsidRDefault="0044405A" w:rsidP="0044405A">
            <w:pPr>
              <w:spacing w:after="0"/>
              <w:jc w:val="right"/>
            </w:pPr>
            <w:r w:rsidRPr="00D03B2A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Adicional do IRPJ (10%</w:t>
            </w:r>
            <w:r>
              <w:rPr>
                <w:rFonts w:cs="Calibri"/>
                <w:sz w:val="20"/>
                <w:szCs w:val="20"/>
                <w:lang w:val="pt-BR" w:eastAsia="pt-BR"/>
              </w:rPr>
              <w:t xml:space="preserve"> s/ parcela que exceder R$ 60 mil</w:t>
            </w: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4E143E" w:rsidRDefault="0044405A" w:rsidP="0044405A">
            <w:pPr>
              <w:spacing w:after="0"/>
              <w:jc w:val="right"/>
            </w:pPr>
            <w:r w:rsidRPr="004E143E">
              <w:t>2.520,00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D03B2A" w:rsidRDefault="0044405A" w:rsidP="0044405A">
            <w:pPr>
              <w:spacing w:after="0"/>
              <w:jc w:val="right"/>
            </w:pPr>
            <w:r w:rsidRPr="00D03B2A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IRPJ Apurado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4E143E" w:rsidRDefault="0044405A" w:rsidP="0044405A">
            <w:pPr>
              <w:spacing w:after="0"/>
              <w:jc w:val="right"/>
            </w:pPr>
            <w:r w:rsidRPr="004E143E">
              <w:t>15.300,00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D03B2A" w:rsidRDefault="0044405A" w:rsidP="0044405A">
            <w:pPr>
              <w:spacing w:after="0"/>
              <w:jc w:val="right"/>
            </w:pPr>
            <w:r w:rsidRPr="00D03B2A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(-) Deduções (IRRF s/ renda fixa)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4E143E" w:rsidRDefault="0044405A" w:rsidP="0044405A">
            <w:pPr>
              <w:spacing w:after="0"/>
              <w:jc w:val="right"/>
            </w:pPr>
            <w:r w:rsidRPr="004E143E">
              <w:t>-2</w:t>
            </w:r>
            <w:r>
              <w:t>.</w:t>
            </w:r>
            <w:r w:rsidRPr="004E143E">
              <w:t>250</w:t>
            </w:r>
            <w:r w:rsidR="00835512">
              <w:t>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D03B2A" w:rsidRDefault="0044405A" w:rsidP="0044405A">
            <w:pPr>
              <w:spacing w:after="0"/>
              <w:jc w:val="right"/>
            </w:pPr>
            <w:r w:rsidRPr="00D03B2A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IRPJ devido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4E143E" w:rsidRDefault="0044405A" w:rsidP="0044405A">
            <w:pPr>
              <w:spacing w:after="0"/>
              <w:jc w:val="right"/>
            </w:pPr>
            <w:r w:rsidRPr="004E143E">
              <w:t>13.050,00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D03B2A" w:rsidRDefault="0044405A" w:rsidP="0044405A">
            <w:pPr>
              <w:spacing w:after="0"/>
              <w:jc w:val="right"/>
            </w:pPr>
            <w:r w:rsidRPr="00D03B2A">
              <w:t>-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CSLL 9%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D72A81" w:rsidRDefault="0044405A" w:rsidP="0044405A">
            <w:pPr>
              <w:spacing w:after="0"/>
              <w:jc w:val="right"/>
            </w:pPr>
            <w:r w:rsidRPr="00D72A81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05A" w:rsidRPr="00170346" w:rsidRDefault="0044405A" w:rsidP="0044405A">
            <w:pPr>
              <w:spacing w:after="0"/>
              <w:jc w:val="right"/>
            </w:pPr>
            <w:r w:rsidRPr="00170346">
              <w:t>24.444,00</w:t>
            </w: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CSLL devida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44405A" w:rsidRPr="00D72A81" w:rsidRDefault="0044405A" w:rsidP="0044405A">
            <w:pPr>
              <w:spacing w:after="0"/>
              <w:jc w:val="right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44405A" w:rsidRPr="00170346" w:rsidRDefault="0044405A" w:rsidP="0044405A">
            <w:pPr>
              <w:spacing w:after="0"/>
              <w:jc w:val="right"/>
            </w:pPr>
            <w:r w:rsidRPr="00170346">
              <w:t>24.444,00</w:t>
            </w:r>
          </w:p>
        </w:tc>
      </w:tr>
      <w:tr w:rsidR="0044405A" w:rsidRPr="00F02F4E" w:rsidTr="0044405A">
        <w:trPr>
          <w:trHeight w:val="7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  <w:r w:rsidRPr="00F02F4E">
              <w:rPr>
                <w:rFonts w:cs="Calibri"/>
                <w:sz w:val="12"/>
                <w:szCs w:val="12"/>
                <w:lang w:val="pt-BR" w:eastAsia="pt-B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  <w:lang w:val="pt-BR" w:eastAsia="pt-BR"/>
              </w:rPr>
            </w:pPr>
          </w:p>
        </w:tc>
      </w:tr>
      <w:tr w:rsidR="0044405A" w:rsidRPr="00F02F4E" w:rsidTr="0044405A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Tributo devido (IRPJ + CSLL)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5A" w:rsidRPr="00F02F4E" w:rsidRDefault="0044405A" w:rsidP="0044405A">
            <w:pPr>
              <w:spacing w:after="0" w:line="240" w:lineRule="auto"/>
              <w:rPr>
                <w:rFonts w:cs="Calibri"/>
                <w:sz w:val="20"/>
                <w:szCs w:val="20"/>
                <w:lang w:val="pt-BR" w:eastAsia="pt-BR"/>
              </w:rPr>
            </w:pPr>
            <w:r w:rsidRPr="00F02F4E">
              <w:rPr>
                <w:rFonts w:cs="Calibr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405A" w:rsidRPr="00B8189B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b/>
                <w:sz w:val="20"/>
                <w:szCs w:val="20"/>
                <w:lang w:val="pt-BR" w:eastAsia="pt-BR"/>
              </w:rPr>
              <w:t>13.050,00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405A" w:rsidRPr="00F02F4E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24.444,00</w:t>
            </w:r>
          </w:p>
        </w:tc>
      </w:tr>
    </w:tbl>
    <w:p w:rsidR="0044405A" w:rsidRDefault="0044405A" w:rsidP="0044405A">
      <w:pPr>
        <w:spacing w:after="0" w:line="240" w:lineRule="auto"/>
        <w:jc w:val="both"/>
        <w:rPr>
          <w:rFonts w:cs="Arial"/>
        </w:rPr>
      </w:pPr>
    </w:p>
    <w:p w:rsidR="0044405A" w:rsidRDefault="0044405A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Default="00644597" w:rsidP="0044405A">
      <w:pPr>
        <w:spacing w:after="0" w:line="240" w:lineRule="auto"/>
        <w:jc w:val="both"/>
        <w:rPr>
          <w:rFonts w:cs="Arial"/>
        </w:rPr>
      </w:pPr>
    </w:p>
    <w:p w:rsidR="00644597" w:rsidRPr="00022E77" w:rsidRDefault="00644597" w:rsidP="0044405A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44405A" w:rsidRDefault="0044405A" w:rsidP="0044405A">
      <w:pPr>
        <w:spacing w:after="0" w:line="240" w:lineRule="auto"/>
        <w:jc w:val="both"/>
        <w:rPr>
          <w:rFonts w:cs="Arial"/>
          <w:u w:val="single"/>
          <w:lang w:val="pt-BR"/>
        </w:rPr>
      </w:pPr>
      <w:r>
        <w:rPr>
          <w:rFonts w:cs="Arial"/>
          <w:u w:val="single"/>
          <w:lang w:val="pt-BR"/>
        </w:rPr>
        <w:t>Comparação lucro presumido vs. lucro real</w:t>
      </w:r>
    </w:p>
    <w:p w:rsidR="0044405A" w:rsidRDefault="0044405A" w:rsidP="0044405A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:rsidR="0044405A" w:rsidRDefault="0044405A" w:rsidP="0044405A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1660"/>
        <w:gridCol w:w="1660"/>
      </w:tblGrid>
      <w:tr w:rsidR="0044405A" w:rsidRPr="00B8189B" w:rsidTr="0044405A">
        <w:trPr>
          <w:trHeight w:val="402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73072C">
              <w:rPr>
                <w:rFonts w:cs="Calibri"/>
                <w:b/>
                <w:bCs/>
                <w:lang w:val="pt-BR" w:eastAsia="pt-BR"/>
              </w:rPr>
              <w:t>Somatório do IRPJ/CSLL devidos no lucro presumido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05A" w:rsidRPr="00F7429A" w:rsidRDefault="0044405A" w:rsidP="0044405A">
            <w:pPr>
              <w:spacing w:after="0" w:line="240" w:lineRule="auto"/>
              <w:jc w:val="right"/>
              <w:rPr>
                <w:rFonts w:cs="Calibri"/>
                <w:b/>
                <w:lang w:val="pt-BR" w:eastAsia="pt-BR"/>
              </w:rPr>
            </w:pPr>
            <w:r>
              <w:rPr>
                <w:rFonts w:cs="Calibri"/>
                <w:b/>
                <w:lang w:val="pt-BR" w:eastAsia="pt-BR"/>
              </w:rPr>
              <w:t>125.327,60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lang w:val="pt-BR" w:eastAsia="pt-BR"/>
              </w:rPr>
            </w:pPr>
          </w:p>
        </w:tc>
      </w:tr>
      <w:tr w:rsidR="0044405A" w:rsidRPr="00B8189B" w:rsidTr="0044405A">
        <w:trPr>
          <w:trHeight w:val="162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44405A" w:rsidRPr="0073072C" w:rsidTr="0044405A">
        <w:trPr>
          <w:trHeight w:val="402"/>
          <w:jc w:val="center"/>
        </w:trPr>
        <w:tc>
          <w:tcPr>
            <w:tcW w:w="5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73072C">
              <w:rPr>
                <w:rFonts w:cs="Calibri"/>
                <w:b/>
                <w:bCs/>
                <w:lang w:val="pt-BR" w:eastAsia="pt-BR"/>
              </w:rPr>
              <w:t xml:space="preserve"> Cálculo do lucro real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lang w:val="pt-BR" w:eastAsia="pt-BR"/>
              </w:rPr>
            </w:pPr>
            <w:r w:rsidRPr="0073072C">
              <w:rPr>
                <w:rFonts w:cs="Calibri"/>
                <w:lang w:val="pt-BR"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lang w:val="pt-BR" w:eastAsia="pt-BR"/>
              </w:rPr>
            </w:pPr>
          </w:p>
        </w:tc>
      </w:tr>
      <w:tr w:rsidR="0044405A" w:rsidRPr="0073072C" w:rsidTr="0044405A">
        <w:trPr>
          <w:trHeight w:val="402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lang w:val="pt-BR" w:eastAsia="pt-BR"/>
              </w:rPr>
            </w:pPr>
            <w:r w:rsidRPr="0073072C">
              <w:rPr>
                <w:rFonts w:cs="Calibri"/>
                <w:lang w:val="pt-BR" w:eastAsia="pt-BR"/>
              </w:rPr>
              <w:t xml:space="preserve"> Lucro contábil</w:t>
            </w:r>
            <w:r>
              <w:rPr>
                <w:rFonts w:cs="Calibri"/>
                <w:lang w:val="pt-BR" w:eastAsia="pt-BR"/>
              </w:rPr>
              <w:t xml:space="preserve"> (com base na DRE anual)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73072C">
              <w:rPr>
                <w:rFonts w:cs="Calibri"/>
                <w:lang w:val="pt-BR" w:eastAsia="pt-BR"/>
              </w:rPr>
              <w:t> </w:t>
            </w:r>
            <w:r w:rsidRPr="0044405A">
              <w:rPr>
                <w:rFonts w:cs="Calibri"/>
                <w:lang w:val="pt-BR" w:eastAsia="pt-BR"/>
              </w:rPr>
              <w:t>2.607.200,00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sz w:val="18"/>
                <w:szCs w:val="18"/>
                <w:lang w:val="pt-BR" w:eastAsia="pt-BR"/>
              </w:rPr>
            </w:pPr>
            <w:r w:rsidRPr="0073072C">
              <w:rPr>
                <w:rFonts w:cs="Calibri"/>
                <w:sz w:val="18"/>
                <w:szCs w:val="18"/>
                <w:lang w:val="pt-BR" w:eastAsia="pt-BR"/>
              </w:rPr>
              <w:t>A</w:t>
            </w:r>
          </w:p>
        </w:tc>
      </w:tr>
      <w:tr w:rsidR="0044405A" w:rsidRPr="0073072C" w:rsidTr="0044405A">
        <w:trPr>
          <w:trHeight w:val="402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color w:val="808080"/>
                <w:lang w:val="pt-BR" w:eastAsia="pt-BR"/>
              </w:rPr>
            </w:pPr>
            <w:r w:rsidRPr="0073072C">
              <w:rPr>
                <w:rFonts w:cs="Calibri"/>
                <w:color w:val="808080"/>
                <w:lang w:val="pt-BR" w:eastAsia="pt-BR"/>
              </w:rPr>
              <w:t xml:space="preserve"> Ajustes (+) ao lucro contábil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color w:val="808080"/>
                <w:lang w:val="pt-BR" w:eastAsia="pt-BR"/>
              </w:rPr>
            </w:pPr>
            <w:r w:rsidRPr="0073072C">
              <w:rPr>
                <w:rFonts w:cs="Calibri"/>
                <w:b/>
                <w:bCs/>
                <w:color w:val="808080"/>
                <w:lang w:val="pt-BR" w:eastAsia="pt-BR"/>
              </w:rPr>
              <w:t>não considerados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sz w:val="18"/>
                <w:szCs w:val="18"/>
                <w:lang w:val="pt-BR" w:eastAsia="pt-BR"/>
              </w:rPr>
            </w:pPr>
            <w:r w:rsidRPr="0073072C">
              <w:rPr>
                <w:rFonts w:cs="Calibri"/>
                <w:sz w:val="18"/>
                <w:szCs w:val="18"/>
                <w:lang w:val="pt-BR" w:eastAsia="pt-BR"/>
              </w:rPr>
              <w:t>B</w:t>
            </w:r>
          </w:p>
        </w:tc>
      </w:tr>
      <w:tr w:rsidR="0044405A" w:rsidRPr="0073072C" w:rsidTr="0044405A">
        <w:trPr>
          <w:trHeight w:val="402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color w:val="808080"/>
                <w:lang w:val="pt-BR" w:eastAsia="pt-BR"/>
              </w:rPr>
            </w:pPr>
            <w:r w:rsidRPr="0073072C">
              <w:rPr>
                <w:rFonts w:cs="Calibri"/>
                <w:color w:val="808080"/>
                <w:lang w:val="pt-BR" w:eastAsia="pt-BR"/>
              </w:rPr>
              <w:t xml:space="preserve"> Ajustes (-) ao lucro contábil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b/>
                <w:bCs/>
                <w:color w:val="808080"/>
                <w:lang w:val="pt-BR"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sz w:val="18"/>
                <w:szCs w:val="18"/>
                <w:lang w:val="pt-BR" w:eastAsia="pt-BR"/>
              </w:rPr>
            </w:pPr>
            <w:r w:rsidRPr="0073072C">
              <w:rPr>
                <w:rFonts w:cs="Calibri"/>
                <w:sz w:val="18"/>
                <w:szCs w:val="18"/>
                <w:lang w:val="pt-BR" w:eastAsia="pt-BR"/>
              </w:rPr>
              <w:t>C</w:t>
            </w:r>
          </w:p>
        </w:tc>
      </w:tr>
      <w:tr w:rsidR="0044405A" w:rsidRPr="0073072C" w:rsidTr="0044405A">
        <w:trPr>
          <w:trHeight w:val="402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lang w:val="pt-BR" w:eastAsia="pt-BR"/>
              </w:rPr>
            </w:pPr>
            <w:r w:rsidRPr="0073072C">
              <w:rPr>
                <w:rFonts w:cs="Calibri"/>
                <w:lang w:val="pt-BR" w:eastAsia="pt-BR"/>
              </w:rPr>
              <w:t xml:space="preserve"> Lucro real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44405A">
              <w:rPr>
                <w:rFonts w:cs="Calibri"/>
                <w:lang w:val="pt-BR" w:eastAsia="pt-BR"/>
              </w:rPr>
              <w:t>2.607.200,00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sz w:val="18"/>
                <w:szCs w:val="18"/>
                <w:lang w:val="pt-BR" w:eastAsia="pt-BR"/>
              </w:rPr>
            </w:pPr>
            <w:r w:rsidRPr="0073072C">
              <w:rPr>
                <w:rFonts w:cs="Calibri"/>
                <w:sz w:val="18"/>
                <w:szCs w:val="18"/>
                <w:lang w:val="pt-BR" w:eastAsia="pt-BR"/>
              </w:rPr>
              <w:t>D (A+B-C)</w:t>
            </w:r>
          </w:p>
        </w:tc>
      </w:tr>
      <w:tr w:rsidR="0044405A" w:rsidRPr="0073072C" w:rsidTr="0044405A">
        <w:trPr>
          <w:trHeight w:val="402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lang w:val="pt-BR" w:eastAsia="pt-BR"/>
              </w:rPr>
            </w:pPr>
            <w:r w:rsidRPr="0073072C">
              <w:rPr>
                <w:rFonts w:cs="Calibri"/>
                <w:lang w:val="pt-BR" w:eastAsia="pt-BR"/>
              </w:rPr>
              <w:t xml:space="preserve"> IRPJ (15%)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5A" w:rsidRPr="00011661" w:rsidRDefault="0044405A" w:rsidP="0044405A">
            <w:pPr>
              <w:spacing w:after="0"/>
              <w:jc w:val="right"/>
            </w:pPr>
            <w:r>
              <w:t>391</w:t>
            </w:r>
            <w:r w:rsidRPr="00011661">
              <w:t xml:space="preserve">.080,00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lang w:val="pt-BR" w:eastAsia="pt-BR"/>
              </w:rPr>
            </w:pPr>
          </w:p>
        </w:tc>
      </w:tr>
      <w:tr w:rsidR="0044405A" w:rsidRPr="0073072C" w:rsidTr="0044405A">
        <w:trPr>
          <w:trHeight w:val="402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lang w:val="pt-BR" w:eastAsia="pt-BR"/>
              </w:rPr>
            </w:pPr>
            <w:r w:rsidRPr="0073072C">
              <w:rPr>
                <w:rFonts w:cs="Calibri"/>
                <w:lang w:val="pt-BR" w:eastAsia="pt-BR"/>
              </w:rPr>
              <w:t xml:space="preserve"> Adicional IRPJ (10%)*¹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5A" w:rsidRPr="00011661" w:rsidRDefault="0044405A" w:rsidP="0044405A">
            <w:pPr>
              <w:spacing w:after="0"/>
              <w:jc w:val="right"/>
            </w:pPr>
            <w:r>
              <w:t>236</w:t>
            </w:r>
            <w:r w:rsidRPr="00011661">
              <w:t xml:space="preserve">.720,00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lang w:val="pt-BR" w:eastAsia="pt-BR"/>
              </w:rPr>
            </w:pPr>
          </w:p>
        </w:tc>
      </w:tr>
      <w:tr w:rsidR="0044405A" w:rsidRPr="0073072C" w:rsidTr="0044405A">
        <w:trPr>
          <w:trHeight w:val="402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lang w:val="pt-BR" w:eastAsia="pt-BR"/>
              </w:rPr>
            </w:pPr>
            <w:r w:rsidRPr="0073072C">
              <w:rPr>
                <w:rFonts w:cs="Calibri"/>
                <w:lang w:val="pt-BR" w:eastAsia="pt-BR"/>
              </w:rPr>
              <w:t xml:space="preserve"> CSLL (9%)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405A" w:rsidRPr="00011661" w:rsidRDefault="0044405A" w:rsidP="0044405A">
            <w:pPr>
              <w:spacing w:after="0"/>
              <w:jc w:val="right"/>
            </w:pPr>
            <w:r>
              <w:t>234.6</w:t>
            </w:r>
            <w:r w:rsidRPr="00011661">
              <w:t xml:space="preserve">48,00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lang w:val="pt-BR" w:eastAsia="pt-BR"/>
              </w:rPr>
            </w:pPr>
          </w:p>
        </w:tc>
      </w:tr>
      <w:tr w:rsidR="00A400A7" w:rsidRPr="0073072C" w:rsidTr="0044405A">
        <w:trPr>
          <w:trHeight w:val="402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0A7" w:rsidRPr="00835512" w:rsidRDefault="00835512" w:rsidP="0044405A">
            <w:pPr>
              <w:spacing w:after="0" w:line="240" w:lineRule="auto"/>
              <w:rPr>
                <w:rFonts w:cs="Calibri"/>
                <w:bCs/>
                <w:lang w:val="pt-BR" w:eastAsia="pt-BR"/>
              </w:rPr>
            </w:pPr>
            <w:r w:rsidRPr="002958B0">
              <w:rPr>
                <w:rFonts w:cs="Calibri"/>
                <w:bCs/>
                <w:lang w:val="pt-BR" w:eastAsia="pt-BR"/>
              </w:rPr>
              <w:t xml:space="preserve"> </w:t>
            </w:r>
            <w:r w:rsidR="00A400A7" w:rsidRPr="002958B0">
              <w:rPr>
                <w:rFonts w:cs="Calibri"/>
                <w:bCs/>
                <w:lang w:val="pt-BR" w:eastAsia="pt-BR"/>
              </w:rPr>
              <w:t>(-)</w:t>
            </w:r>
            <w:r w:rsidR="00A400A7" w:rsidRPr="00835512">
              <w:rPr>
                <w:rFonts w:cs="Calibri"/>
                <w:bCs/>
                <w:lang w:val="pt-BR" w:eastAsia="pt-BR"/>
              </w:rPr>
              <w:t xml:space="preserve"> IRRF recolhido por antecipação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400A7" w:rsidRDefault="00835512" w:rsidP="0044405A">
            <w:pPr>
              <w:spacing w:after="0"/>
              <w:jc w:val="right"/>
            </w:pPr>
            <w:r>
              <w:t xml:space="preserve">-6.950,00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0A7" w:rsidRPr="0073072C" w:rsidRDefault="00A400A7" w:rsidP="0044405A">
            <w:pPr>
              <w:spacing w:after="0" w:line="240" w:lineRule="auto"/>
              <w:rPr>
                <w:rFonts w:cs="Calibri"/>
                <w:sz w:val="18"/>
                <w:szCs w:val="18"/>
                <w:lang w:val="pt-BR" w:eastAsia="pt-BR"/>
              </w:rPr>
            </w:pPr>
          </w:p>
        </w:tc>
      </w:tr>
      <w:tr w:rsidR="0044405A" w:rsidRPr="0073072C" w:rsidTr="0044405A">
        <w:trPr>
          <w:trHeight w:val="402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73072C">
              <w:rPr>
                <w:rFonts w:cs="Calibri"/>
                <w:b/>
                <w:bCs/>
                <w:lang w:val="pt-BR" w:eastAsia="pt-BR"/>
              </w:rPr>
              <w:t xml:space="preserve"> IRPJ/CSLL devidos no lucro real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405A" w:rsidRDefault="00835512" w:rsidP="0044405A">
            <w:pPr>
              <w:spacing w:after="0"/>
              <w:jc w:val="right"/>
            </w:pPr>
            <w:r>
              <w:t>855.498,00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sz w:val="18"/>
                <w:szCs w:val="18"/>
                <w:lang w:val="pt-BR" w:eastAsia="pt-BR"/>
              </w:rPr>
            </w:pPr>
            <w:r w:rsidRPr="0073072C">
              <w:rPr>
                <w:rFonts w:cs="Calibri"/>
                <w:sz w:val="18"/>
                <w:szCs w:val="18"/>
                <w:lang w:val="pt-BR" w:eastAsia="pt-BR"/>
              </w:rPr>
              <w:t>Total</w:t>
            </w:r>
          </w:p>
        </w:tc>
      </w:tr>
      <w:tr w:rsidR="0044405A" w:rsidRPr="00644597" w:rsidTr="0044405A">
        <w:trPr>
          <w:trHeight w:val="402"/>
          <w:jc w:val="center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sz w:val="16"/>
                <w:szCs w:val="16"/>
                <w:lang w:val="pt-BR" w:eastAsia="pt-BR"/>
              </w:rPr>
            </w:pPr>
            <w:r w:rsidRPr="0073072C">
              <w:rPr>
                <w:rFonts w:cs="Calibri"/>
                <w:sz w:val="16"/>
                <w:szCs w:val="16"/>
                <w:lang w:val="pt-BR" w:eastAsia="pt-BR"/>
              </w:rPr>
              <w:t>*¹ incidente sobre parcela que exceder R$ 240mil/ano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sz w:val="16"/>
                <w:szCs w:val="16"/>
                <w:lang w:val="pt-BR"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44405A" w:rsidRPr="00B8189B" w:rsidTr="0044405A">
        <w:trPr>
          <w:trHeight w:val="402"/>
          <w:jc w:val="center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jc w:val="center"/>
              <w:rPr>
                <w:rFonts w:cs="Calibri"/>
                <w:b/>
                <w:bCs/>
                <w:lang w:val="pt-BR" w:eastAsia="pt-BR"/>
              </w:rPr>
            </w:pPr>
            <w:r w:rsidRPr="0073072C">
              <w:rPr>
                <w:rFonts w:cs="Calibri"/>
                <w:b/>
                <w:bCs/>
                <w:lang w:val="pt-BR" w:eastAsia="pt-BR"/>
              </w:rPr>
              <w:t xml:space="preserve"> Diferença entre IRPJ/CSLL devidos no lucro presumido e no lucro real para o ano-calendário de 201</w:t>
            </w:r>
            <w:r w:rsidR="00A400A7">
              <w:rPr>
                <w:rFonts w:cs="Calibri"/>
                <w:b/>
                <w:bCs/>
                <w:lang w:val="pt-BR" w:eastAsia="pt-BR"/>
              </w:rPr>
              <w:t>8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jc w:val="center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73</w:t>
            </w:r>
            <w:r w:rsidR="00835512">
              <w:rPr>
                <w:rFonts w:cs="Calibri"/>
                <w:lang w:val="pt-BR" w:eastAsia="pt-BR"/>
              </w:rPr>
              <w:t>0</w:t>
            </w:r>
            <w:r>
              <w:rPr>
                <w:rFonts w:cs="Calibri"/>
                <w:lang w:val="pt-BR" w:eastAsia="pt-BR"/>
              </w:rPr>
              <w:t>.1</w:t>
            </w:r>
            <w:r w:rsidR="00835512">
              <w:rPr>
                <w:rFonts w:cs="Calibri"/>
                <w:lang w:val="pt-BR" w:eastAsia="pt-BR"/>
              </w:rPr>
              <w:t>7</w:t>
            </w:r>
            <w:r>
              <w:rPr>
                <w:rFonts w:cs="Calibri"/>
                <w:lang w:val="pt-BR" w:eastAsia="pt-BR"/>
              </w:rPr>
              <w:t>0,40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jc w:val="center"/>
              <w:rPr>
                <w:rFonts w:cs="Calibri"/>
                <w:lang w:val="pt-BR" w:eastAsia="pt-BR"/>
              </w:rPr>
            </w:pPr>
          </w:p>
        </w:tc>
      </w:tr>
      <w:tr w:rsidR="0044405A" w:rsidRPr="00B8189B" w:rsidTr="0044405A">
        <w:trPr>
          <w:trHeight w:val="402"/>
          <w:jc w:val="center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cs="Calibri"/>
                <w:lang w:val="pt-BR"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A" w:rsidRPr="0073072C" w:rsidRDefault="0044405A" w:rsidP="00444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935CB8" w:rsidRPr="009F3048" w:rsidRDefault="00935CB8" w:rsidP="009F3048">
      <w:pPr>
        <w:spacing w:after="0" w:line="240" w:lineRule="auto"/>
        <w:jc w:val="both"/>
        <w:rPr>
          <w:rFonts w:cs="Arial"/>
          <w:lang w:val="pt-BR"/>
        </w:rPr>
      </w:pPr>
    </w:p>
    <w:sectPr w:rsidR="00935CB8" w:rsidRPr="009F3048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DC" w:rsidRDefault="00937DDC" w:rsidP="006936A0">
      <w:pPr>
        <w:spacing w:after="0" w:line="240" w:lineRule="auto"/>
      </w:pPr>
      <w:r>
        <w:separator/>
      </w:r>
    </w:p>
  </w:endnote>
  <w:endnote w:type="continuationSeparator" w:id="0">
    <w:p w:rsidR="00937DDC" w:rsidRDefault="00937DDC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DC" w:rsidRDefault="00937DDC" w:rsidP="006936A0">
      <w:pPr>
        <w:spacing w:after="0" w:line="240" w:lineRule="auto"/>
      </w:pPr>
      <w:r>
        <w:separator/>
      </w:r>
    </w:p>
  </w:footnote>
  <w:footnote w:type="continuationSeparator" w:id="0">
    <w:p w:rsidR="00937DDC" w:rsidRDefault="00937DDC" w:rsidP="006936A0">
      <w:pPr>
        <w:spacing w:after="0" w:line="240" w:lineRule="auto"/>
      </w:pPr>
      <w:r>
        <w:continuationSeparator/>
      </w:r>
    </w:p>
  </w:footnote>
  <w:footnote w:id="1">
    <w:p w:rsidR="00DE7A4C" w:rsidRPr="005A2419" w:rsidRDefault="00DE7A4C" w:rsidP="005A2419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5A2419">
        <w:rPr>
          <w:lang w:val="pt-BR"/>
        </w:rPr>
        <w:t xml:space="preserve"> </w:t>
      </w:r>
      <w:r w:rsidRPr="005A2419">
        <w:rPr>
          <w:lang w:val="pt-BR"/>
        </w:rPr>
        <w:tab/>
      </w:r>
      <w:r>
        <w:rPr>
          <w:lang w:val="pt-BR"/>
        </w:rPr>
        <w:t>Com exceção do rendimento com renda fixa auferido pelo Auto Posto São Paulo no 1º Trimestre, vinculado a um investimento de 240 dias, todos os demais rendimentos auferidos pelo Auto Posto São Paulo em operações de renda fixa eram de curto prazo (inferior a 180 dias) e estavam sujeitos à retenção na fonte de imposto de renda de acordo com a alíquota de 22,5% nos termos da tabela regressiva.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5"/>
    <w:rsid w:val="00003D2E"/>
    <w:rsid w:val="000216EF"/>
    <w:rsid w:val="00022E77"/>
    <w:rsid w:val="000C02AE"/>
    <w:rsid w:val="000F37C5"/>
    <w:rsid w:val="001379FC"/>
    <w:rsid w:val="00162EF6"/>
    <w:rsid w:val="0017107F"/>
    <w:rsid w:val="001B43DC"/>
    <w:rsid w:val="001E6990"/>
    <w:rsid w:val="001F3717"/>
    <w:rsid w:val="0021058D"/>
    <w:rsid w:val="00210763"/>
    <w:rsid w:val="00211BE9"/>
    <w:rsid w:val="00222DFF"/>
    <w:rsid w:val="002260F7"/>
    <w:rsid w:val="00241D64"/>
    <w:rsid w:val="002628FB"/>
    <w:rsid w:val="00270539"/>
    <w:rsid w:val="0027065A"/>
    <w:rsid w:val="002958B0"/>
    <w:rsid w:val="00326C74"/>
    <w:rsid w:val="003B3A99"/>
    <w:rsid w:val="003D0117"/>
    <w:rsid w:val="00403F2E"/>
    <w:rsid w:val="00420E49"/>
    <w:rsid w:val="0044405A"/>
    <w:rsid w:val="00446DFD"/>
    <w:rsid w:val="004601EC"/>
    <w:rsid w:val="00472279"/>
    <w:rsid w:val="004963B1"/>
    <w:rsid w:val="004D026C"/>
    <w:rsid w:val="005A2419"/>
    <w:rsid w:val="005A3657"/>
    <w:rsid w:val="005D3316"/>
    <w:rsid w:val="005E01A2"/>
    <w:rsid w:val="00611D26"/>
    <w:rsid w:val="00626017"/>
    <w:rsid w:val="00644597"/>
    <w:rsid w:val="006504D1"/>
    <w:rsid w:val="006574AE"/>
    <w:rsid w:val="00657FDC"/>
    <w:rsid w:val="006677AE"/>
    <w:rsid w:val="006936A0"/>
    <w:rsid w:val="006A58A5"/>
    <w:rsid w:val="006C2354"/>
    <w:rsid w:val="006E62E6"/>
    <w:rsid w:val="006F3EA5"/>
    <w:rsid w:val="00720E7E"/>
    <w:rsid w:val="00723E02"/>
    <w:rsid w:val="0073072C"/>
    <w:rsid w:val="007327FF"/>
    <w:rsid w:val="007364EB"/>
    <w:rsid w:val="00752CD9"/>
    <w:rsid w:val="00764F98"/>
    <w:rsid w:val="0080525D"/>
    <w:rsid w:val="008124EC"/>
    <w:rsid w:val="00812697"/>
    <w:rsid w:val="00835512"/>
    <w:rsid w:val="008870D7"/>
    <w:rsid w:val="008B6AE2"/>
    <w:rsid w:val="00920CA8"/>
    <w:rsid w:val="00935CB8"/>
    <w:rsid w:val="00937DDC"/>
    <w:rsid w:val="009760A8"/>
    <w:rsid w:val="00977EA5"/>
    <w:rsid w:val="00987D65"/>
    <w:rsid w:val="00993C3B"/>
    <w:rsid w:val="009D72EA"/>
    <w:rsid w:val="009F3048"/>
    <w:rsid w:val="009F585B"/>
    <w:rsid w:val="009F5942"/>
    <w:rsid w:val="00A033AA"/>
    <w:rsid w:val="00A30BB1"/>
    <w:rsid w:val="00A400A7"/>
    <w:rsid w:val="00AB0D1A"/>
    <w:rsid w:val="00AC773A"/>
    <w:rsid w:val="00AD4D7F"/>
    <w:rsid w:val="00AE0BC2"/>
    <w:rsid w:val="00B502CB"/>
    <w:rsid w:val="00B67A4B"/>
    <w:rsid w:val="00BA7417"/>
    <w:rsid w:val="00BD584B"/>
    <w:rsid w:val="00C05F56"/>
    <w:rsid w:val="00C33ECA"/>
    <w:rsid w:val="00C56ACE"/>
    <w:rsid w:val="00C72FA3"/>
    <w:rsid w:val="00C87F9E"/>
    <w:rsid w:val="00CB7256"/>
    <w:rsid w:val="00CF4B1E"/>
    <w:rsid w:val="00D124D3"/>
    <w:rsid w:val="00D22270"/>
    <w:rsid w:val="00DD61BF"/>
    <w:rsid w:val="00DE7A4C"/>
    <w:rsid w:val="00DF3021"/>
    <w:rsid w:val="00E0767B"/>
    <w:rsid w:val="00E26A35"/>
    <w:rsid w:val="00E328B4"/>
    <w:rsid w:val="00E3538B"/>
    <w:rsid w:val="00E43B98"/>
    <w:rsid w:val="00E4635D"/>
    <w:rsid w:val="00E663C0"/>
    <w:rsid w:val="00F02C22"/>
    <w:rsid w:val="00F02F4E"/>
    <w:rsid w:val="00F575A4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B502CB"/>
    <w:rPr>
      <w:rFonts w:ascii="Arial" w:hAnsi="Arial"/>
      <w:b/>
      <w:szCs w:val="24"/>
      <w:lang w:val="x-none"/>
    </w:rPr>
  </w:style>
  <w:style w:type="paragraph" w:styleId="Header">
    <w:name w:val="header"/>
    <w:basedOn w:val="Normal"/>
    <w:link w:val="Header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HeaderChar">
    <w:name w:val="Header Char"/>
    <w:link w:val="Header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FootnoteText">
    <w:name w:val="footnote text"/>
    <w:basedOn w:val="Normal"/>
    <w:next w:val="FootnoteTextcont"/>
    <w:link w:val="FootnoteText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leGrid">
    <w:name w:val="Table Grid"/>
    <w:basedOn w:val="TableNormal"/>
    <w:uiPriority w:val="39"/>
    <w:rsid w:val="0069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3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9355-27A7-4770-849B-186D4BDD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1380</Words>
  <Characters>8298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Breno Sarpi</cp:lastModifiedBy>
  <cp:revision>3</cp:revision>
  <cp:lastPrinted>2014-02-23T23:44:00Z</cp:lastPrinted>
  <dcterms:created xsi:type="dcterms:W3CDTF">2019-03-27T18:48:00Z</dcterms:created>
  <dcterms:modified xsi:type="dcterms:W3CDTF">2019-04-09T15:39:00Z</dcterms:modified>
</cp:coreProperties>
</file>