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eyond_Abstinence_and_Risk:_A_New_Paradi"/>
    <w:bookmarkStart w:id="1" w:name="_GoBack"/>
    <w:bookmarkEnd w:id="0"/>
    <w:bookmarkEnd w:id="1"/>
    <w:p w:rsidR="000B4C66" w:rsidRPr="000B4C66" w:rsidRDefault="000B4C66" w:rsidP="000B4C66">
      <w:pPr>
        <w:spacing w:before="72"/>
        <w:ind w:left="4037"/>
        <w:rPr>
          <w:sz w:val="18"/>
          <w:szCs w:val="18"/>
        </w:rPr>
      </w:pPr>
      <w:r w:rsidRPr="000B4C66">
        <w:rPr>
          <w:sz w:val="18"/>
          <w:szCs w:val="18"/>
        </w:rPr>
        <w:fldChar w:fldCharType="begin"/>
      </w:r>
      <w:r w:rsidRPr="000B4C66">
        <w:rPr>
          <w:sz w:val="18"/>
          <w:szCs w:val="18"/>
        </w:rPr>
        <w:instrText xml:space="preserve"> HYPERLINK "http://dx.doi.org/10.1016/j.whi.2011.01.007" \h </w:instrText>
      </w:r>
      <w:r w:rsidRPr="000B4C66">
        <w:rPr>
          <w:sz w:val="18"/>
          <w:szCs w:val="18"/>
        </w:rPr>
        <w:fldChar w:fldCharType="separate"/>
      </w:r>
      <w:r w:rsidRPr="000B4C66">
        <w:rPr>
          <w:color w:val="000066"/>
          <w:w w:val="110"/>
          <w:sz w:val="18"/>
          <w:szCs w:val="18"/>
        </w:rPr>
        <w:t>Women's Health Issues 21-3S (2011) S5</w:t>
      </w:r>
      <w:r w:rsidRPr="000B4C66">
        <w:rPr>
          <w:rFonts w:ascii="Lucida Sans" w:hAnsi="Lucida Sans"/>
          <w:color w:val="000066"/>
          <w:w w:val="110"/>
          <w:sz w:val="18"/>
          <w:szCs w:val="18"/>
        </w:rPr>
        <w:t>–</w:t>
      </w:r>
      <w:r w:rsidRPr="000B4C66">
        <w:rPr>
          <w:color w:val="000066"/>
          <w:w w:val="110"/>
          <w:sz w:val="18"/>
          <w:szCs w:val="18"/>
        </w:rPr>
        <w:t>S7</w:t>
      </w:r>
      <w:r w:rsidRPr="000B4C66">
        <w:rPr>
          <w:color w:val="000066"/>
          <w:w w:val="110"/>
          <w:sz w:val="18"/>
          <w:szCs w:val="18"/>
        </w:rPr>
        <w:fldChar w:fldCharType="end"/>
      </w:r>
    </w:p>
    <w:p w:rsidR="00AF199C" w:rsidRDefault="00AF199C">
      <w:pPr>
        <w:pStyle w:val="Corpodetexto"/>
        <w:spacing w:before="5"/>
        <w:rPr>
          <w:rFonts w:ascii="Book Antiqua"/>
          <w:sz w:val="11"/>
        </w:rPr>
      </w:pPr>
    </w:p>
    <w:p w:rsidR="00AF199C" w:rsidRDefault="008653D0">
      <w:pPr>
        <w:pStyle w:val="Corpodetexto"/>
        <w:spacing w:line="62" w:lineRule="exact"/>
        <w:ind w:left="265"/>
        <w:rPr>
          <w:rFonts w:ascii="Book Antiqua"/>
          <w:sz w:val="6"/>
        </w:rPr>
      </w:pPr>
      <w:r>
        <w:rPr>
          <w:rFonts w:ascii="Book Antiqua"/>
          <w:noProof/>
          <w:sz w:val="6"/>
          <w:lang w:val="pt-BR" w:eastAsia="pt-BR" w:bidi="ar-SA"/>
        </w:rPr>
        <mc:AlternateContent>
          <mc:Choice Requires="wpg">
            <w:drawing>
              <wp:inline distT="0" distB="0" distL="0" distR="0">
                <wp:extent cx="6366510" cy="38735"/>
                <wp:effectExtent l="25400" t="2540" r="27940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38735"/>
                          <a:chOff x="0" y="0"/>
                          <a:chExt cx="10026" cy="61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026" cy="0"/>
                          </a:xfrm>
                          <a:prstGeom prst="line">
                            <a:avLst/>
                          </a:prstGeom>
                          <a:noFill/>
                          <a:ln w="381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79B5869B" id="Group 5" o:spid="_x0000_s1026" style="width:501.3pt;height:3.05pt;mso-position-horizontal-relative:char;mso-position-vertical-relative:line" coordsize="1002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">
                <v:line id="Line 6" o:spid="_x0000_s1027" style="position:absolute;visibility:visible;mso-wrap-style:square" from="0,30" to="10026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" strokeweight="1.0601mm"/>
                <w10:anchorlock/>
              </v:group>
            </w:pict>
          </mc:Fallback>
        </mc:AlternateContent>
      </w:r>
    </w:p>
    <w:p w:rsidR="00AF199C" w:rsidRDefault="00AF199C">
      <w:pPr>
        <w:pStyle w:val="Corpodetexto"/>
        <w:spacing w:before="8"/>
        <w:rPr>
          <w:rFonts w:ascii="Book Antiqua"/>
          <w:sz w:val="7"/>
        </w:rPr>
      </w:pPr>
    </w:p>
    <w:p w:rsidR="00AF199C" w:rsidRPr="000B4C66" w:rsidRDefault="008653D0">
      <w:pPr>
        <w:spacing w:before="98"/>
        <w:ind w:left="296"/>
        <w:rPr>
          <w:b/>
          <w:sz w:val="24"/>
          <w:szCs w:val="24"/>
        </w:rPr>
      </w:pPr>
      <w:r w:rsidRPr="000B4C66">
        <w:rPr>
          <w:b/>
          <w:w w:val="105"/>
          <w:sz w:val="24"/>
          <w:szCs w:val="24"/>
        </w:rPr>
        <w:t>Beyond Abstinence and Risk: A New Paradigm for Adolescent Sexual Health</w:t>
      </w:r>
    </w:p>
    <w:p w:rsidR="00AF199C" w:rsidRPr="000B4C66" w:rsidRDefault="008653D0">
      <w:pPr>
        <w:spacing w:before="155"/>
        <w:ind w:left="296"/>
        <w:rPr>
          <w:rFonts w:ascii="SimSun"/>
          <w:b/>
          <w:sz w:val="20"/>
          <w:szCs w:val="20"/>
        </w:rPr>
      </w:pPr>
      <w:r w:rsidRPr="000B4C66">
        <w:rPr>
          <w:b/>
          <w:w w:val="105"/>
          <w:sz w:val="20"/>
          <w:szCs w:val="20"/>
        </w:rPr>
        <w:t xml:space="preserve">Amy T. </w:t>
      </w:r>
      <w:proofErr w:type="spellStart"/>
      <w:r w:rsidRPr="000B4C66">
        <w:rPr>
          <w:b/>
          <w:w w:val="105"/>
          <w:sz w:val="20"/>
          <w:szCs w:val="20"/>
        </w:rPr>
        <w:t>Schalet</w:t>
      </w:r>
      <w:proofErr w:type="spellEnd"/>
      <w:r w:rsidRPr="000B4C66">
        <w:rPr>
          <w:b/>
          <w:w w:val="105"/>
          <w:sz w:val="20"/>
          <w:szCs w:val="20"/>
        </w:rPr>
        <w:t xml:space="preserve">, PhD </w:t>
      </w:r>
      <w:hyperlink w:anchor="_bookmark0" w:history="1">
        <w:r w:rsidRPr="000B4C66">
          <w:rPr>
            <w:rFonts w:ascii="SimSun"/>
            <w:b/>
            <w:color w:val="000066"/>
            <w:w w:val="105"/>
            <w:position w:val="5"/>
            <w:sz w:val="20"/>
            <w:szCs w:val="20"/>
          </w:rPr>
          <w:t>*</w:t>
        </w:r>
      </w:hyperlink>
    </w:p>
    <w:p w:rsidR="00AF199C" w:rsidRPr="000B4C66" w:rsidRDefault="008653D0">
      <w:pPr>
        <w:spacing w:before="125"/>
        <w:ind w:left="296"/>
        <w:rPr>
          <w:rFonts w:ascii="Book Antiqua"/>
          <w:i/>
          <w:sz w:val="20"/>
          <w:szCs w:val="20"/>
        </w:rPr>
      </w:pPr>
      <w:r w:rsidRPr="000B4C66">
        <w:rPr>
          <w:rFonts w:ascii="Book Antiqua"/>
          <w:i/>
          <w:w w:val="120"/>
          <w:sz w:val="20"/>
          <w:szCs w:val="20"/>
        </w:rPr>
        <w:t>Department of Sociology, University of Massachusetts, Amherst, Massachusetts</w:t>
      </w:r>
    </w:p>
    <w:p w:rsidR="000B4C66" w:rsidRDefault="008653D0" w:rsidP="000B4C66">
      <w:pPr>
        <w:pStyle w:val="Corpodetexto"/>
        <w:spacing w:before="5"/>
        <w:rPr>
          <w:w w:val="110"/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115570</wp:posOffset>
                </wp:positionV>
                <wp:extent cx="636587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F4BB263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85pt,9.1pt" to="543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S0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" strokeweight=".09983mm">
                <w10:wrap type="topAndBottom" anchorx="page"/>
              </v:line>
            </w:pict>
          </mc:Fallback>
        </mc:AlternateContent>
      </w:r>
    </w:p>
    <w:p w:rsidR="000B4C66" w:rsidRPr="000B4C66" w:rsidRDefault="000B4C66">
      <w:pPr>
        <w:pStyle w:val="Corpodetexto"/>
        <w:spacing w:line="232" w:lineRule="auto"/>
        <w:ind w:left="297" w:firstLine="239"/>
        <w:jc w:val="both"/>
        <w:rPr>
          <w:w w:val="110"/>
          <w:sz w:val="18"/>
          <w:szCs w:val="18"/>
          <w:lang w:val="pt-BR"/>
        </w:rPr>
      </w:pPr>
      <w:r w:rsidRPr="000B4C66">
        <w:rPr>
          <w:w w:val="110"/>
          <w:sz w:val="18"/>
          <w:szCs w:val="18"/>
          <w:lang w:val="pt-BR"/>
        </w:rPr>
        <w:t>Dois paradigmas moldaram como os formuladores de políticas, profissionais de saúde e educadores dos EUA abordaram a sexualidade adolescente nas últimas décadas. O primeiro é o paradigma da abstinência até o casamento, segundo o qual o sexo fora do casamento heterossexual é sempre errado e prejudicial (Santelli et al., 2006). O segundo é o paradigma do sexo como risco, que define a sexualidade adolescente em termos de risco e assunção de riscos (</w:t>
      </w:r>
      <w:proofErr w:type="spellStart"/>
      <w:r w:rsidRPr="000B4C66">
        <w:rPr>
          <w:w w:val="110"/>
          <w:sz w:val="18"/>
          <w:szCs w:val="18"/>
          <w:lang w:val="pt-BR"/>
        </w:rPr>
        <w:t>Michaud</w:t>
      </w:r>
      <w:proofErr w:type="spellEnd"/>
      <w:r w:rsidRPr="000B4C66">
        <w:rPr>
          <w:w w:val="110"/>
          <w:sz w:val="18"/>
          <w:szCs w:val="18"/>
          <w:lang w:val="pt-BR"/>
        </w:rPr>
        <w:t>, 2006). Os dois paradigmas compartilham um foco quase exclusivo nos atos sexuais de adolescentes, conceituam esses atos como perigosos e assumem que enfatizar seus riscos é o caminho para ajudar os jovens a se tornarem sexualmente saudáveis. Ambos os paradigmas exemplificam o que eu chamo de dramatização da sexualidade adolescente: destacam conflitos internos entre impulso e cognição e conflitos interpessoais entre meninos e meninas e entre jovens e pais (</w:t>
      </w:r>
      <w:proofErr w:type="spellStart"/>
      <w:r w:rsidRPr="000B4C66">
        <w:rPr>
          <w:w w:val="110"/>
          <w:sz w:val="18"/>
          <w:szCs w:val="18"/>
          <w:lang w:val="pt-BR"/>
        </w:rPr>
        <w:t>Schalet</w:t>
      </w:r>
      <w:proofErr w:type="spellEnd"/>
      <w:r w:rsidRPr="000B4C66">
        <w:rPr>
          <w:w w:val="110"/>
          <w:sz w:val="18"/>
          <w:szCs w:val="18"/>
          <w:lang w:val="pt-BR"/>
        </w:rPr>
        <w:t>, 2004).</w:t>
      </w:r>
    </w:p>
    <w:p w:rsidR="000B4C66" w:rsidRPr="000B4C66" w:rsidRDefault="000B4C66">
      <w:pPr>
        <w:pStyle w:val="Corpodetexto"/>
        <w:spacing w:line="232" w:lineRule="auto"/>
        <w:ind w:left="297" w:firstLine="239"/>
        <w:jc w:val="both"/>
        <w:rPr>
          <w:w w:val="110"/>
          <w:sz w:val="18"/>
          <w:szCs w:val="18"/>
          <w:lang w:val="pt-BR"/>
        </w:rPr>
      </w:pPr>
      <w:r w:rsidRPr="000B4C66">
        <w:rPr>
          <w:w w:val="110"/>
          <w:sz w:val="18"/>
          <w:szCs w:val="18"/>
          <w:lang w:val="pt-BR"/>
        </w:rPr>
        <w:t xml:space="preserve">Mas esses dois paradigmas nos dão apenas ferramentas limitadas para conceituar e promover o desenvolvimento e relacionamentos sexuais positivos dos adolescentes. Primeiro, ao definir o sexo adolescente como errado ou arriscado, eles distinguem insuficientemente atos sexuais que são bastante seguros daqueles de alto risco. Segundo, ao ver a sexualidade como uma atividade de "ou / ou", e não como um </w:t>
      </w:r>
      <w:proofErr w:type="spellStart"/>
      <w:r w:rsidRPr="000B4C66">
        <w:rPr>
          <w:i/>
          <w:w w:val="110"/>
          <w:sz w:val="18"/>
          <w:szCs w:val="18"/>
          <w:lang w:val="pt-BR"/>
        </w:rPr>
        <w:t>continuum</w:t>
      </w:r>
      <w:proofErr w:type="spellEnd"/>
      <w:r w:rsidRPr="000B4C66">
        <w:rPr>
          <w:w w:val="110"/>
          <w:sz w:val="18"/>
          <w:szCs w:val="18"/>
          <w:lang w:val="pt-BR"/>
        </w:rPr>
        <w:t>, eles prestam pouca atenção às habilidades que incluem aquelas necessárias para discernir e comunicar desejos e limites sexuais que permitem aos jovens explorar a sexualidade de maneira gradual, intencional e prazerosa. Terceiro, eles não prestam atenção suficiente aos relacionamentos com parceiros e cuidadores adultos que podem apoiar experiências sexuais positivas de adolescentes. Finalmente, muitas vezes deixam de reconhecer as privações socioeconômicas que estão na raiz de muitos resultados negativos na saúde sexual e devem ser abordadas para promover o desenvolvimento saudável.</w:t>
      </w:r>
    </w:p>
    <w:p w:rsidR="000B4C66" w:rsidRPr="000B4C66" w:rsidRDefault="000B4C66" w:rsidP="000B4C66">
      <w:pPr>
        <w:pStyle w:val="Corpodetexto"/>
        <w:spacing w:line="232" w:lineRule="auto"/>
        <w:ind w:left="297" w:firstLine="239"/>
        <w:jc w:val="both"/>
        <w:rPr>
          <w:w w:val="105"/>
          <w:sz w:val="18"/>
          <w:szCs w:val="18"/>
          <w:lang w:val="pt-BR"/>
        </w:rPr>
      </w:pPr>
      <w:r w:rsidRPr="000B4C66">
        <w:rPr>
          <w:w w:val="105"/>
          <w:sz w:val="18"/>
          <w:szCs w:val="18"/>
          <w:lang w:val="pt-BR"/>
        </w:rPr>
        <w:t>Vemos os limites desses dois paradigmas com mais clareza quando olhamos para fora de nossas fronteiras nacionais em países que abordaram a sexualidade adolescente de maneira diferente. A taxa de fertilidade de adolescentes, por exemplo, é oito vezes menor na Holanda do que nos Estados Unidos, e a taxa de aborto de adolescentes é duas vezes mais baixa, apesar das idades comparáveis ​​de iniciação sexual nos dois países (</w:t>
      </w:r>
      <w:proofErr w:type="spellStart"/>
      <w:r w:rsidRPr="000B4C66">
        <w:rPr>
          <w:w w:val="105"/>
          <w:sz w:val="18"/>
          <w:szCs w:val="18"/>
          <w:lang w:val="pt-BR"/>
        </w:rPr>
        <w:t>Kost</w:t>
      </w:r>
      <w:proofErr w:type="spellEnd"/>
      <w:r w:rsidRPr="000B4C66">
        <w:rPr>
          <w:w w:val="105"/>
          <w:sz w:val="18"/>
          <w:szCs w:val="18"/>
          <w:lang w:val="pt-BR"/>
        </w:rPr>
        <w:t xml:space="preserve">, </w:t>
      </w:r>
      <w:proofErr w:type="spellStart"/>
      <w:r w:rsidRPr="000B4C66">
        <w:rPr>
          <w:w w:val="105"/>
          <w:sz w:val="18"/>
          <w:szCs w:val="18"/>
          <w:lang w:val="pt-BR"/>
        </w:rPr>
        <w:t>Henshaw</w:t>
      </w:r>
      <w:proofErr w:type="spellEnd"/>
      <w:r w:rsidRPr="000B4C66">
        <w:rPr>
          <w:w w:val="105"/>
          <w:sz w:val="18"/>
          <w:szCs w:val="18"/>
          <w:lang w:val="pt-BR"/>
        </w:rPr>
        <w:t xml:space="preserve">, &amp; </w:t>
      </w:r>
      <w:proofErr w:type="spellStart"/>
      <w:r w:rsidRPr="000B4C66">
        <w:rPr>
          <w:w w:val="105"/>
          <w:sz w:val="18"/>
          <w:szCs w:val="18"/>
          <w:lang w:val="pt-BR"/>
        </w:rPr>
        <w:t>Carlin</w:t>
      </w:r>
      <w:proofErr w:type="spellEnd"/>
      <w:r w:rsidRPr="000B4C66">
        <w:rPr>
          <w:w w:val="105"/>
          <w:sz w:val="18"/>
          <w:szCs w:val="18"/>
          <w:lang w:val="pt-BR"/>
        </w:rPr>
        <w:t xml:space="preserve">, 2010; van Lee, van der </w:t>
      </w:r>
      <w:proofErr w:type="spellStart"/>
      <w:r w:rsidRPr="000B4C66">
        <w:rPr>
          <w:w w:val="105"/>
          <w:sz w:val="18"/>
          <w:szCs w:val="18"/>
          <w:lang w:val="pt-BR"/>
        </w:rPr>
        <w:t>Vlucht</w:t>
      </w:r>
      <w:proofErr w:type="spellEnd"/>
      <w:r w:rsidRPr="000B4C66">
        <w:rPr>
          <w:w w:val="105"/>
          <w:sz w:val="18"/>
          <w:szCs w:val="18"/>
          <w:lang w:val="pt-BR"/>
        </w:rPr>
        <w:t xml:space="preserve">, </w:t>
      </w:r>
      <w:proofErr w:type="spellStart"/>
      <w:r w:rsidRPr="000B4C66">
        <w:rPr>
          <w:w w:val="105"/>
          <w:sz w:val="18"/>
          <w:szCs w:val="18"/>
          <w:lang w:val="pt-BR"/>
        </w:rPr>
        <w:t>Wijsen</w:t>
      </w:r>
      <w:proofErr w:type="spellEnd"/>
      <w:r w:rsidRPr="000B4C66">
        <w:rPr>
          <w:w w:val="105"/>
          <w:sz w:val="18"/>
          <w:szCs w:val="18"/>
          <w:lang w:val="pt-BR"/>
        </w:rPr>
        <w:t xml:space="preserve"> &amp; </w:t>
      </w:r>
      <w:proofErr w:type="spellStart"/>
      <w:r w:rsidRPr="000B4C66">
        <w:rPr>
          <w:w w:val="105"/>
          <w:sz w:val="18"/>
          <w:szCs w:val="18"/>
          <w:lang w:val="pt-BR"/>
        </w:rPr>
        <w:t>Cade´e</w:t>
      </w:r>
      <w:proofErr w:type="spellEnd"/>
      <w:r w:rsidRPr="000B4C66">
        <w:rPr>
          <w:w w:val="105"/>
          <w:sz w:val="18"/>
          <w:szCs w:val="18"/>
          <w:lang w:val="pt-BR"/>
        </w:rPr>
        <w:t>, 2009). Uma razão importante para a diferença é que os jovens holandeses têm maior probabilidade de usar métodos contraceptivos confiáveis, principalmente a pílula e a dupla proteção, e o fazem desde a primeira relação sexual (</w:t>
      </w:r>
      <w:proofErr w:type="spellStart"/>
      <w:r w:rsidRPr="000B4C66">
        <w:rPr>
          <w:w w:val="105"/>
          <w:sz w:val="18"/>
          <w:szCs w:val="18"/>
          <w:lang w:val="pt-BR"/>
        </w:rPr>
        <w:t>Abma</w:t>
      </w:r>
      <w:proofErr w:type="spellEnd"/>
      <w:r w:rsidRPr="000B4C66">
        <w:rPr>
          <w:w w:val="105"/>
          <w:sz w:val="18"/>
          <w:szCs w:val="18"/>
          <w:lang w:val="pt-BR"/>
        </w:rPr>
        <w:t xml:space="preserve">, Martinez, </w:t>
      </w:r>
      <w:proofErr w:type="spellStart"/>
      <w:r w:rsidRPr="000B4C66">
        <w:rPr>
          <w:w w:val="105"/>
          <w:sz w:val="18"/>
          <w:szCs w:val="18"/>
          <w:lang w:val="pt-BR"/>
        </w:rPr>
        <w:t>Mosher</w:t>
      </w:r>
      <w:proofErr w:type="spellEnd"/>
      <w:r w:rsidRPr="000B4C66">
        <w:rPr>
          <w:w w:val="105"/>
          <w:sz w:val="18"/>
          <w:szCs w:val="18"/>
          <w:lang w:val="pt-BR"/>
        </w:rPr>
        <w:t xml:space="preserve"> e Dawson, 2004; Ferguson, </w:t>
      </w:r>
      <w:proofErr w:type="spellStart"/>
      <w:r w:rsidRPr="000B4C66">
        <w:rPr>
          <w:w w:val="105"/>
          <w:sz w:val="18"/>
          <w:szCs w:val="18"/>
          <w:lang w:val="pt-BR"/>
        </w:rPr>
        <w:t>Vanwesenbeeck</w:t>
      </w:r>
      <w:proofErr w:type="spellEnd"/>
      <w:r w:rsidRPr="000B4C66">
        <w:rPr>
          <w:w w:val="105"/>
          <w:sz w:val="18"/>
          <w:szCs w:val="18"/>
          <w:lang w:val="pt-BR"/>
        </w:rPr>
        <w:t xml:space="preserve"> e </w:t>
      </w:r>
      <w:proofErr w:type="spellStart"/>
      <w:r w:rsidRPr="000B4C66">
        <w:rPr>
          <w:w w:val="105"/>
          <w:sz w:val="18"/>
          <w:szCs w:val="18"/>
          <w:lang w:val="pt-BR"/>
        </w:rPr>
        <w:t>Knijn</w:t>
      </w:r>
      <w:proofErr w:type="spellEnd"/>
      <w:r w:rsidRPr="000B4C66">
        <w:rPr>
          <w:w w:val="105"/>
          <w:sz w:val="18"/>
          <w:szCs w:val="18"/>
          <w:lang w:val="pt-BR"/>
        </w:rPr>
        <w:t xml:space="preserve">, 2008). Notavelmente, a maioria dos adolescentes holandeses relata que suas primeiras experiências sexuais são muito oportunas, desejadas e divertidas, enquanto muitos adolescentes americanos dizem que desejam ter esperado mais tempo para fazer sexo, sugerindo que os primeiros sentem mais controle e mais direito à exploração sexual (Albert, 2004; de </w:t>
      </w:r>
      <w:proofErr w:type="spellStart"/>
      <w:r w:rsidRPr="000B4C66">
        <w:rPr>
          <w:w w:val="105"/>
          <w:sz w:val="18"/>
          <w:szCs w:val="18"/>
          <w:lang w:val="pt-BR"/>
        </w:rPr>
        <w:t>Graaf</w:t>
      </w:r>
      <w:proofErr w:type="spellEnd"/>
      <w:r w:rsidRPr="000B4C66">
        <w:rPr>
          <w:w w:val="105"/>
          <w:sz w:val="18"/>
          <w:szCs w:val="18"/>
          <w:lang w:val="pt-BR"/>
        </w:rPr>
        <w:t xml:space="preserve">, </w:t>
      </w:r>
      <w:proofErr w:type="spellStart"/>
      <w:r w:rsidRPr="000B4C66">
        <w:rPr>
          <w:w w:val="105"/>
          <w:sz w:val="18"/>
          <w:szCs w:val="18"/>
          <w:lang w:val="pt-BR"/>
        </w:rPr>
        <w:t>Meijer</w:t>
      </w:r>
      <w:proofErr w:type="spellEnd"/>
      <w:r w:rsidRPr="000B4C66">
        <w:rPr>
          <w:w w:val="105"/>
          <w:sz w:val="18"/>
          <w:szCs w:val="18"/>
          <w:lang w:val="pt-BR"/>
        </w:rPr>
        <w:t xml:space="preserve">, </w:t>
      </w:r>
      <w:proofErr w:type="spellStart"/>
      <w:r w:rsidRPr="000B4C66">
        <w:rPr>
          <w:w w:val="105"/>
          <w:sz w:val="18"/>
          <w:szCs w:val="18"/>
          <w:lang w:val="pt-BR"/>
        </w:rPr>
        <w:t>Poelman</w:t>
      </w:r>
      <w:proofErr w:type="spellEnd"/>
      <w:r w:rsidRPr="000B4C66">
        <w:rPr>
          <w:w w:val="105"/>
          <w:sz w:val="18"/>
          <w:szCs w:val="18"/>
          <w:lang w:val="pt-BR"/>
        </w:rPr>
        <w:t xml:space="preserve"> e </w:t>
      </w:r>
      <w:proofErr w:type="spellStart"/>
      <w:r w:rsidRPr="000B4C66">
        <w:rPr>
          <w:w w:val="105"/>
          <w:sz w:val="18"/>
          <w:szCs w:val="18"/>
          <w:lang w:val="pt-BR"/>
        </w:rPr>
        <w:t>Vanwesenbeeck</w:t>
      </w:r>
      <w:proofErr w:type="spellEnd"/>
      <w:r w:rsidRPr="000B4C66">
        <w:rPr>
          <w:w w:val="105"/>
          <w:sz w:val="18"/>
          <w:szCs w:val="18"/>
          <w:lang w:val="pt-BR"/>
        </w:rPr>
        <w:t>, 2005).</w:t>
      </w:r>
    </w:p>
    <w:p w:rsidR="000B4C66" w:rsidRPr="000B4C66" w:rsidRDefault="000B4C66" w:rsidP="000B4C66">
      <w:pPr>
        <w:pStyle w:val="Corpodetexto"/>
        <w:spacing w:line="232" w:lineRule="auto"/>
        <w:ind w:left="297" w:firstLine="239"/>
        <w:jc w:val="both"/>
        <w:rPr>
          <w:w w:val="105"/>
          <w:sz w:val="18"/>
          <w:szCs w:val="18"/>
          <w:lang w:val="pt-BR"/>
        </w:rPr>
      </w:pPr>
      <w:r w:rsidRPr="000B4C66">
        <w:rPr>
          <w:w w:val="105"/>
          <w:sz w:val="18"/>
          <w:szCs w:val="18"/>
          <w:lang w:val="pt-BR"/>
        </w:rPr>
        <w:t>Uma série de fatores econômicos, políticos e culturais contribui</w:t>
      </w:r>
      <w:r w:rsidR="00CF5537">
        <w:rPr>
          <w:w w:val="105"/>
          <w:sz w:val="18"/>
          <w:szCs w:val="18"/>
          <w:lang w:val="pt-BR"/>
        </w:rPr>
        <w:t xml:space="preserve"> </w:t>
      </w:r>
      <w:r w:rsidRPr="000B4C66">
        <w:rPr>
          <w:w w:val="105"/>
          <w:sz w:val="18"/>
          <w:szCs w:val="18"/>
          <w:lang w:val="pt-BR"/>
        </w:rPr>
        <w:t>para essas diferenças: os jovens holandeses são menos propensos do que os americanos a crescer na pobreza que promove a gravidez precoce, a falta de educação formal sobre contracepção e a encontrar barreiras financeiras ou emocionais para obter serviços de contracepção e aborto. E embora a sexualidade continue sendo um tópico difícil de abordar na maioria das famílias americanas e seja uma fonte de desconexão entre adolescentes e pais, a maioria dos pais holandeses aceita sexo entre adolescentes quando eles mantêm relacionamentos firmes e usando métodos contraceptivos e permitem que esses casais passem a noite juntos em casa (</w:t>
      </w:r>
      <w:proofErr w:type="spellStart"/>
      <w:r w:rsidRPr="000B4C66">
        <w:rPr>
          <w:w w:val="105"/>
          <w:sz w:val="18"/>
          <w:szCs w:val="18"/>
          <w:lang w:val="pt-BR"/>
        </w:rPr>
        <w:t>Schalet</w:t>
      </w:r>
      <w:proofErr w:type="spellEnd"/>
      <w:r w:rsidRPr="000B4C66">
        <w:rPr>
          <w:w w:val="105"/>
          <w:sz w:val="18"/>
          <w:szCs w:val="18"/>
          <w:lang w:val="pt-BR"/>
        </w:rPr>
        <w:t>, no prelo). A aceitação adulta da sexualidade adolescente torna mais fácil para os adolescentes reconhecer que são seres sexuais, planejar atos sexuais, negociar interações sexuais e pedir assistência quando necessário.</w:t>
      </w:r>
    </w:p>
    <w:p w:rsidR="000B4C66" w:rsidRPr="000B4C66" w:rsidRDefault="000B4C66" w:rsidP="000B4C66">
      <w:pPr>
        <w:pStyle w:val="Corpodetexto"/>
        <w:spacing w:line="232" w:lineRule="auto"/>
        <w:ind w:left="297" w:firstLine="239"/>
        <w:jc w:val="both"/>
        <w:rPr>
          <w:w w:val="105"/>
          <w:sz w:val="18"/>
          <w:szCs w:val="18"/>
          <w:lang w:val="pt-BR"/>
        </w:rPr>
      </w:pPr>
      <w:r w:rsidRPr="000B4C66">
        <w:rPr>
          <w:w w:val="105"/>
          <w:sz w:val="18"/>
          <w:szCs w:val="18"/>
          <w:lang w:val="pt-BR"/>
        </w:rPr>
        <w:t xml:space="preserve">Criar condições para experiências e resultados sexuais mais positivos entre adolescentes nos Estados Unidos requer vontade política e inovação cultural. É oferecido aqui um modelo alternativo para a saúde sexual dos adolescentes: esse ABC-e-D direciona a atenção para as habilidades, relacionamentos e recursos fundamentais que os jovens precisam desenvolver como seres sexuais e emocionais saudáveis. </w:t>
      </w:r>
      <w:r w:rsidR="00CF5537">
        <w:rPr>
          <w:w w:val="105"/>
          <w:sz w:val="18"/>
          <w:szCs w:val="18"/>
          <w:lang w:val="pt-BR"/>
        </w:rPr>
        <w:t>O “A” ne</w:t>
      </w:r>
      <w:r w:rsidRPr="000B4C66">
        <w:rPr>
          <w:w w:val="105"/>
          <w:sz w:val="18"/>
          <w:szCs w:val="18"/>
          <w:lang w:val="pt-BR"/>
        </w:rPr>
        <w:t xml:space="preserve">ste modelo conceitual refere-se à autonomia do eu sexual. Sabemos que os adolescentes adquirem novas habilidades para autonomia, mas essa premissa raramente é aplicada à sexualidade. Ganhar autonomia sexual envolve conhecer o desejo e o prazer sexual, reconhecer e articular desejos e limites sexuais e aprender a antecipar e se preparar para atos sexuais. Quando os jovens têm autonomia sexual, eles podem reconhecer seus sentimentos sexuais como separados dos desejos e pressões dos outros, possuir seus sentimentos e exercer controle sobre suas decisões sexuais (ver também </w:t>
      </w:r>
      <w:proofErr w:type="spellStart"/>
      <w:r w:rsidRPr="000B4C66">
        <w:rPr>
          <w:w w:val="105"/>
          <w:sz w:val="18"/>
          <w:szCs w:val="18"/>
          <w:lang w:val="pt-BR"/>
        </w:rPr>
        <w:t>Tolman</w:t>
      </w:r>
      <w:proofErr w:type="spellEnd"/>
      <w:r w:rsidRPr="000B4C66">
        <w:rPr>
          <w:w w:val="105"/>
          <w:sz w:val="18"/>
          <w:szCs w:val="18"/>
          <w:lang w:val="pt-BR"/>
        </w:rPr>
        <w:t>, 2002). Adquirir essa autonomia é mais fácil quando os jovens se movem lentamente no sexo, avaliando seus desejos e níveis de conforto a cada passo antes de passar para o próximo.</w:t>
      </w:r>
    </w:p>
    <w:p w:rsidR="00AF199C" w:rsidRPr="000B4C66" w:rsidRDefault="008653D0">
      <w:pPr>
        <w:pStyle w:val="Corpodetexto"/>
        <w:spacing w:before="94" w:line="232" w:lineRule="auto"/>
        <w:ind w:left="296" w:right="112"/>
        <w:jc w:val="both"/>
        <w:rPr>
          <w:lang w:val="pt-BR"/>
        </w:rPr>
      </w:pPr>
      <w:r w:rsidRPr="000B4C66">
        <w:rPr>
          <w:lang w:val="pt-BR"/>
        </w:rPr>
        <w:br w:type="column"/>
      </w:r>
    </w:p>
    <w:p w:rsidR="00AF199C" w:rsidRDefault="008653D0">
      <w:pPr>
        <w:tabs>
          <w:tab w:val="left" w:pos="3532"/>
        </w:tabs>
        <w:spacing w:before="72"/>
        <w:ind w:left="117"/>
        <w:rPr>
          <w:rFonts w:ascii="Book Antiqua" w:hAnsi="Book Antiqua"/>
          <w:i/>
          <w:sz w:val="12"/>
        </w:rPr>
      </w:pPr>
      <w:bookmarkStart w:id="2" w:name="Acknowledgments"/>
      <w:bookmarkStart w:id="3" w:name="References"/>
      <w:bookmarkEnd w:id="2"/>
      <w:bookmarkEnd w:id="3"/>
      <w:r>
        <w:rPr>
          <w:w w:val="110"/>
          <w:sz w:val="12"/>
        </w:rPr>
        <w:t>S6</w:t>
      </w:r>
      <w:r>
        <w:rPr>
          <w:w w:val="110"/>
          <w:sz w:val="12"/>
        </w:rPr>
        <w:tab/>
      </w:r>
      <w:r>
        <w:rPr>
          <w:rFonts w:ascii="Book Antiqua" w:hAnsi="Book Antiqua"/>
          <w:i/>
          <w:w w:val="110"/>
          <w:sz w:val="12"/>
        </w:rPr>
        <w:t xml:space="preserve">A.T. </w:t>
      </w:r>
      <w:proofErr w:type="spellStart"/>
      <w:r>
        <w:rPr>
          <w:rFonts w:ascii="Book Antiqua" w:hAnsi="Book Antiqua"/>
          <w:i/>
          <w:w w:val="110"/>
          <w:sz w:val="12"/>
        </w:rPr>
        <w:t>Schalet</w:t>
      </w:r>
      <w:proofErr w:type="spellEnd"/>
      <w:r>
        <w:rPr>
          <w:rFonts w:ascii="Book Antiqua" w:hAnsi="Book Antiqua"/>
          <w:i/>
          <w:w w:val="110"/>
          <w:sz w:val="12"/>
        </w:rPr>
        <w:t xml:space="preserve"> / Women's Health Issues 21-3S </w:t>
      </w:r>
      <w:r>
        <w:rPr>
          <w:rFonts w:ascii="Book Antiqua" w:hAnsi="Book Antiqua"/>
          <w:i/>
          <w:spacing w:val="-4"/>
          <w:w w:val="110"/>
          <w:sz w:val="12"/>
        </w:rPr>
        <w:t>(2011)</w:t>
      </w:r>
      <w:r>
        <w:rPr>
          <w:rFonts w:ascii="Book Antiqua" w:hAnsi="Book Antiqua"/>
          <w:i/>
          <w:spacing w:val="9"/>
          <w:w w:val="110"/>
          <w:sz w:val="12"/>
        </w:rPr>
        <w:t xml:space="preserve"> </w:t>
      </w:r>
      <w:r>
        <w:rPr>
          <w:rFonts w:ascii="Book Antiqua" w:hAnsi="Book Antiqua"/>
          <w:i/>
          <w:w w:val="110"/>
          <w:sz w:val="12"/>
        </w:rPr>
        <w:t>S5</w:t>
      </w:r>
      <w:r>
        <w:rPr>
          <w:rFonts w:ascii="Lucida Sans" w:hAnsi="Lucida Sans"/>
          <w:w w:val="110"/>
          <w:sz w:val="12"/>
        </w:rPr>
        <w:t>–</w:t>
      </w:r>
      <w:r>
        <w:rPr>
          <w:rFonts w:ascii="Book Antiqua" w:hAnsi="Book Antiqua"/>
          <w:i/>
          <w:w w:val="110"/>
          <w:sz w:val="12"/>
        </w:rPr>
        <w:t>S7</w:t>
      </w:r>
    </w:p>
    <w:p w:rsidR="00AF199C" w:rsidRDefault="00AF199C">
      <w:pPr>
        <w:rPr>
          <w:rFonts w:ascii="Book Antiqua" w:hAnsi="Book Antiqua"/>
          <w:sz w:val="12"/>
        </w:rPr>
        <w:sectPr w:rsidR="00AF199C">
          <w:pgSz w:w="11520" w:h="15480"/>
          <w:pgMar w:top="840" w:right="540" w:bottom="280" w:left="540" w:header="720" w:footer="720" w:gutter="0"/>
          <w:cols w:space="720"/>
        </w:sectPr>
      </w:pPr>
    </w:p>
    <w:p w:rsidR="00AF199C" w:rsidRDefault="00AF199C">
      <w:pPr>
        <w:pStyle w:val="Corpodetexto"/>
        <w:spacing w:before="3"/>
        <w:rPr>
          <w:rFonts w:ascii="Book Antiqua"/>
          <w:i/>
        </w:rPr>
      </w:pPr>
    </w:p>
    <w:p w:rsidR="000B4C66" w:rsidRDefault="000B4C66">
      <w:pPr>
        <w:pStyle w:val="Corpodetexto"/>
        <w:spacing w:line="232" w:lineRule="auto"/>
        <w:ind w:left="118" w:right="38" w:firstLine="239"/>
        <w:jc w:val="both"/>
        <w:rPr>
          <w:w w:val="110"/>
          <w:lang w:val="pt-BR"/>
        </w:rPr>
      </w:pPr>
      <w:r w:rsidRPr="000B4C66">
        <w:rPr>
          <w:w w:val="110"/>
          <w:lang w:val="pt-BR"/>
        </w:rPr>
        <w:t xml:space="preserve">Um senso de autonomia sexual ajuda os jovens a navegar nas interações sexuais: adolescentes que têm maior senso de controle em situações sexuais têm maior probabilidade de se abster de relações sexuais e usam preservativos quando fazem sexo (Pearson, 2006). Quando as meninas relatam mais subjetividade sexual, estima do corpo, direito ao prazer e </w:t>
      </w:r>
      <w:proofErr w:type="spellStart"/>
      <w:r w:rsidRPr="000B4C66">
        <w:rPr>
          <w:w w:val="110"/>
          <w:lang w:val="pt-BR"/>
        </w:rPr>
        <w:t>auto-reflexão</w:t>
      </w:r>
      <w:proofErr w:type="spellEnd"/>
      <w:r w:rsidRPr="000B4C66">
        <w:rPr>
          <w:w w:val="110"/>
          <w:lang w:val="pt-BR"/>
        </w:rPr>
        <w:t xml:space="preserve"> sexual, elas experimentam maior </w:t>
      </w:r>
      <w:proofErr w:type="spellStart"/>
      <w:r w:rsidRPr="000B4C66">
        <w:rPr>
          <w:w w:val="110"/>
          <w:lang w:val="pt-BR"/>
        </w:rPr>
        <w:t>auto-eficácia</w:t>
      </w:r>
      <w:proofErr w:type="spellEnd"/>
      <w:r w:rsidRPr="000B4C66">
        <w:rPr>
          <w:w w:val="110"/>
          <w:lang w:val="pt-BR"/>
        </w:rPr>
        <w:t xml:space="preserve"> no uso de preservativos (</w:t>
      </w:r>
      <w:proofErr w:type="spellStart"/>
      <w:r w:rsidRPr="000B4C66">
        <w:rPr>
          <w:w w:val="110"/>
          <w:lang w:val="pt-BR"/>
        </w:rPr>
        <w:t>Horne</w:t>
      </w:r>
      <w:proofErr w:type="spellEnd"/>
      <w:r w:rsidRPr="000B4C66">
        <w:rPr>
          <w:w w:val="110"/>
          <w:lang w:val="pt-BR"/>
        </w:rPr>
        <w:t xml:space="preserve"> &amp; </w:t>
      </w:r>
      <w:proofErr w:type="spellStart"/>
      <w:r w:rsidRPr="000B4C66">
        <w:rPr>
          <w:w w:val="110"/>
          <w:lang w:val="pt-BR"/>
        </w:rPr>
        <w:t>Zimmer-Gembeck</w:t>
      </w:r>
      <w:proofErr w:type="spellEnd"/>
      <w:r w:rsidRPr="000B4C66">
        <w:rPr>
          <w:w w:val="110"/>
          <w:lang w:val="pt-BR"/>
        </w:rPr>
        <w:t xml:space="preserve">, 2006). E as meninas que relatam mais </w:t>
      </w:r>
      <w:proofErr w:type="spellStart"/>
      <w:r w:rsidRPr="000B4C66">
        <w:rPr>
          <w:w w:val="110"/>
          <w:lang w:val="pt-BR"/>
        </w:rPr>
        <w:t>autoeficácia</w:t>
      </w:r>
      <w:proofErr w:type="spellEnd"/>
      <w:r w:rsidRPr="000B4C66">
        <w:rPr>
          <w:w w:val="110"/>
          <w:lang w:val="pt-BR"/>
        </w:rPr>
        <w:t xml:space="preserve"> sexual para agir de acordo com suas necessidades sexuais têm maior probabilidade de ter usado preservativo na primeira relação sexual (</w:t>
      </w:r>
      <w:proofErr w:type="spellStart"/>
      <w:r w:rsidRPr="000B4C66">
        <w:rPr>
          <w:w w:val="110"/>
          <w:lang w:val="pt-BR"/>
        </w:rPr>
        <w:t>Impett</w:t>
      </w:r>
      <w:proofErr w:type="spellEnd"/>
      <w:r w:rsidRPr="000B4C66">
        <w:rPr>
          <w:w w:val="110"/>
          <w:lang w:val="pt-BR"/>
        </w:rPr>
        <w:t xml:space="preserve">, </w:t>
      </w:r>
      <w:proofErr w:type="spellStart"/>
      <w:r w:rsidRPr="000B4C66">
        <w:rPr>
          <w:w w:val="110"/>
          <w:lang w:val="pt-BR"/>
        </w:rPr>
        <w:t>Schooler</w:t>
      </w:r>
      <w:proofErr w:type="spellEnd"/>
      <w:r w:rsidRPr="000B4C66">
        <w:rPr>
          <w:w w:val="110"/>
          <w:lang w:val="pt-BR"/>
        </w:rPr>
        <w:t xml:space="preserve"> &amp; </w:t>
      </w:r>
      <w:proofErr w:type="spellStart"/>
      <w:r w:rsidRPr="000B4C66">
        <w:rPr>
          <w:w w:val="110"/>
          <w:lang w:val="pt-BR"/>
        </w:rPr>
        <w:t>Tolman</w:t>
      </w:r>
      <w:proofErr w:type="spellEnd"/>
      <w:r w:rsidRPr="000B4C66">
        <w:rPr>
          <w:w w:val="110"/>
          <w:lang w:val="pt-BR"/>
        </w:rPr>
        <w:t>, 2006). Os meninos também precisam ser reforçados em sua autonomia para estarem melhor equipados para resistir às rígidas normas de masculinidade, que, como as rígidas normas de feminilidade, podem minar o uso de contraceptivos e a saúde sexual (</w:t>
      </w:r>
      <w:proofErr w:type="spellStart"/>
      <w:r w:rsidRPr="000B4C66">
        <w:rPr>
          <w:w w:val="110"/>
          <w:lang w:val="pt-BR"/>
        </w:rPr>
        <w:t>Pleck</w:t>
      </w:r>
      <w:proofErr w:type="spellEnd"/>
      <w:r w:rsidRPr="000B4C66">
        <w:rPr>
          <w:w w:val="110"/>
          <w:lang w:val="pt-BR"/>
        </w:rPr>
        <w:t xml:space="preserve">, </w:t>
      </w:r>
      <w:proofErr w:type="spellStart"/>
      <w:r w:rsidRPr="000B4C66">
        <w:rPr>
          <w:w w:val="110"/>
          <w:lang w:val="pt-BR"/>
        </w:rPr>
        <w:t>Sonenstein</w:t>
      </w:r>
      <w:proofErr w:type="spellEnd"/>
      <w:r w:rsidRPr="000B4C66">
        <w:rPr>
          <w:w w:val="110"/>
          <w:lang w:val="pt-BR"/>
        </w:rPr>
        <w:t xml:space="preserve"> e </w:t>
      </w:r>
      <w:proofErr w:type="spellStart"/>
      <w:r w:rsidRPr="000B4C66">
        <w:rPr>
          <w:w w:val="110"/>
          <w:lang w:val="pt-BR"/>
        </w:rPr>
        <w:t>Ku</w:t>
      </w:r>
      <w:proofErr w:type="spellEnd"/>
      <w:r w:rsidRPr="000B4C66">
        <w:rPr>
          <w:w w:val="110"/>
          <w:lang w:val="pt-BR"/>
        </w:rPr>
        <w:t>, 1993).</w:t>
      </w:r>
    </w:p>
    <w:p w:rsidR="000B4C66" w:rsidRPr="000B4C66" w:rsidRDefault="000B4C66">
      <w:pPr>
        <w:pStyle w:val="Corpodetexto"/>
        <w:spacing w:line="232" w:lineRule="auto"/>
        <w:ind w:left="118" w:right="38" w:firstLine="239"/>
        <w:jc w:val="both"/>
        <w:rPr>
          <w:rFonts w:ascii="Book Antiqua" w:hAnsi="Book Antiqua"/>
          <w:w w:val="105"/>
          <w:lang w:val="pt-BR"/>
        </w:rPr>
      </w:pPr>
      <w:r w:rsidRPr="000B4C66">
        <w:rPr>
          <w:rFonts w:ascii="Book Antiqua" w:hAnsi="Book Antiqua"/>
          <w:w w:val="105"/>
          <w:lang w:val="pt-BR"/>
        </w:rPr>
        <w:t>Construir bons relacionamentos românticos (</w:t>
      </w:r>
      <w:r w:rsidR="00CF5537">
        <w:rPr>
          <w:rFonts w:ascii="Book Antiqua" w:hAnsi="Book Antiqua"/>
          <w:w w:val="105"/>
          <w:lang w:val="pt-BR"/>
        </w:rPr>
        <w:t>“</w:t>
      </w:r>
      <w:r w:rsidRPr="000B4C66">
        <w:rPr>
          <w:rFonts w:ascii="Book Antiqua" w:hAnsi="Book Antiqua"/>
          <w:w w:val="105"/>
          <w:lang w:val="pt-BR"/>
        </w:rPr>
        <w:t>B</w:t>
      </w:r>
      <w:r w:rsidR="00CF5537">
        <w:rPr>
          <w:rFonts w:ascii="Book Antiqua" w:hAnsi="Book Antiqua"/>
          <w:w w:val="105"/>
          <w:lang w:val="pt-BR"/>
        </w:rPr>
        <w:t>”</w:t>
      </w:r>
      <w:r w:rsidRPr="000B4C66">
        <w:rPr>
          <w:rFonts w:ascii="Book Antiqua" w:hAnsi="Book Antiqua"/>
          <w:w w:val="105"/>
          <w:lang w:val="pt-BR"/>
        </w:rPr>
        <w:t xml:space="preserve">) é um segundo componente crítico do desenvolvimento sexual saudável. Nossos paradigmas atuais geralmente colocam a sexualidade adolescente fora do contexto dos relacionamentos nos quais ela é expressa. Ou eles fazem referência a dois arquétipos de relacionamento: o casamento heterossexual ideal, por um lado, e o risco do relacionamento abusivo, por outro. Mas, em vez de defender o casamento como o único relacionamento válido, precisamos validar a necessidade de intimidade dos adolescentes e ajudá-los a construir relacionamentos românticos igualitários e nutritivos, adequados ao estágio de sua vida. E, em vez de ensinar sobre relacionamentos saudáveis </w:t>
      </w:r>
      <w:r w:rsidRPr="000B4C66">
        <w:rPr>
          <w:rFonts w:ascii="Times New Roman" w:hAnsi="Times New Roman" w:cs="Times New Roman"/>
          <w:w w:val="105"/>
          <w:lang w:val="pt-BR"/>
        </w:rPr>
        <w:t>​​</w:t>
      </w:r>
      <w:r w:rsidRPr="000B4C66">
        <w:rPr>
          <w:rFonts w:ascii="Book Antiqua" w:hAnsi="Book Antiqua"/>
          <w:w w:val="105"/>
          <w:lang w:val="pt-BR"/>
        </w:rPr>
        <w:t>principalmente atrav</w:t>
      </w:r>
      <w:r w:rsidRPr="000B4C66">
        <w:rPr>
          <w:rFonts w:ascii="Book Antiqua" w:hAnsi="Book Antiqua" w:cs="Book Antiqua"/>
          <w:w w:val="105"/>
          <w:lang w:val="pt-BR"/>
        </w:rPr>
        <w:t>é</w:t>
      </w:r>
      <w:r w:rsidRPr="000B4C66">
        <w:rPr>
          <w:rFonts w:ascii="Book Antiqua" w:hAnsi="Book Antiqua"/>
          <w:w w:val="105"/>
          <w:lang w:val="pt-BR"/>
        </w:rPr>
        <w:t xml:space="preserve">s das lentes de relacionamentos prejudiciais, devemos dar o mesmo peso </w:t>
      </w:r>
      <w:r w:rsidRPr="000B4C66">
        <w:rPr>
          <w:rFonts w:ascii="Book Antiqua" w:hAnsi="Book Antiqua" w:cs="Book Antiqua"/>
          <w:w w:val="105"/>
          <w:lang w:val="pt-BR"/>
        </w:rPr>
        <w:t>à</w:t>
      </w:r>
      <w:r w:rsidRPr="000B4C66">
        <w:rPr>
          <w:rFonts w:ascii="Book Antiqua" w:hAnsi="Book Antiqua"/>
          <w:w w:val="105"/>
          <w:lang w:val="pt-BR"/>
        </w:rPr>
        <w:t>s caracter</w:t>
      </w:r>
      <w:r w:rsidRPr="000B4C66">
        <w:rPr>
          <w:rFonts w:ascii="Book Antiqua" w:hAnsi="Book Antiqua" w:cs="Book Antiqua"/>
          <w:w w:val="105"/>
          <w:lang w:val="pt-BR"/>
        </w:rPr>
        <w:t>í</w:t>
      </w:r>
      <w:r w:rsidRPr="000B4C66">
        <w:rPr>
          <w:rFonts w:ascii="Book Antiqua" w:hAnsi="Book Antiqua"/>
          <w:w w:val="105"/>
          <w:lang w:val="pt-BR"/>
        </w:rPr>
        <w:t>sticas dos relacionamentos rom</w:t>
      </w:r>
      <w:r w:rsidRPr="000B4C66">
        <w:rPr>
          <w:rFonts w:ascii="Book Antiqua" w:hAnsi="Book Antiqua" w:cs="Book Antiqua"/>
          <w:w w:val="105"/>
          <w:lang w:val="pt-BR"/>
        </w:rPr>
        <w:t>â</w:t>
      </w:r>
      <w:r w:rsidRPr="000B4C66">
        <w:rPr>
          <w:rFonts w:ascii="Book Antiqua" w:hAnsi="Book Antiqua"/>
          <w:w w:val="105"/>
          <w:lang w:val="pt-BR"/>
        </w:rPr>
        <w:t xml:space="preserve">nticos positivos e </w:t>
      </w:r>
      <w:r w:rsidRPr="000B4C66">
        <w:rPr>
          <w:rFonts w:ascii="Book Antiqua" w:hAnsi="Book Antiqua" w:cs="Book Antiqua"/>
          <w:w w:val="105"/>
          <w:lang w:val="pt-BR"/>
        </w:rPr>
        <w:t>à</w:t>
      </w:r>
      <w:r w:rsidRPr="000B4C66">
        <w:rPr>
          <w:rFonts w:ascii="Book Antiqua" w:hAnsi="Book Antiqua"/>
          <w:w w:val="105"/>
          <w:lang w:val="pt-BR"/>
        </w:rPr>
        <w:t>s habilidades necessárias para construí-los. Os componentes desse relacionamento positivo e apropriado para a idade incluem conhecer outra pessoa, criar confiança ao longo do tempo, lidar bem com o conflito, lutar pela igualdade de poder e se divertir.</w:t>
      </w:r>
    </w:p>
    <w:p w:rsidR="000B4C66" w:rsidRDefault="000B4C66" w:rsidP="000B4C66">
      <w:pPr>
        <w:pStyle w:val="Corpodetexto"/>
        <w:spacing w:line="232" w:lineRule="auto"/>
        <w:ind w:left="117" w:right="39" w:firstLine="240"/>
        <w:jc w:val="both"/>
        <w:rPr>
          <w:w w:val="110"/>
          <w:lang w:val="pt-BR"/>
        </w:rPr>
      </w:pPr>
      <w:r w:rsidRPr="000B4C66">
        <w:rPr>
          <w:w w:val="110"/>
          <w:lang w:val="pt-BR"/>
        </w:rPr>
        <w:t>Bons relacionamentos românticos geram resultados positivos para a saúde sexual. Os pais e os profissionais de saúde e educação tendem a desconfiar dos relacionamentos românticos entre os adolescentes, porque esses relacionamentos podem levar à intimidade sexual. Mas pode ser mais importante identificar as características críticas dos relacionamentos românticos dos adolescentes: é mais provável que as atividades sexuais dos adolescentes sejam seguras, desejadas e gratificantes quando os relacionamentos são iguais - ou seja, não são caracterizados por grandes diferenças de idade entre meninas e namorados mais velhos e quando os adolescentes sentem-se satisfeitos, experimentam intimidade e são capazes de discutir abertamente as contradições dentro de seus relacionamentos (</w:t>
      </w:r>
      <w:proofErr w:type="spellStart"/>
      <w:r w:rsidRPr="000B4C66">
        <w:rPr>
          <w:w w:val="110"/>
          <w:lang w:val="pt-BR"/>
        </w:rPr>
        <w:t>Houts</w:t>
      </w:r>
      <w:proofErr w:type="spellEnd"/>
      <w:r w:rsidRPr="000B4C66">
        <w:rPr>
          <w:w w:val="110"/>
          <w:lang w:val="pt-BR"/>
        </w:rPr>
        <w:t xml:space="preserve">, 2005; </w:t>
      </w:r>
      <w:proofErr w:type="spellStart"/>
      <w:r w:rsidRPr="000B4C66">
        <w:rPr>
          <w:w w:val="110"/>
          <w:lang w:val="pt-BR"/>
        </w:rPr>
        <w:t>Manlove</w:t>
      </w:r>
      <w:proofErr w:type="spellEnd"/>
      <w:r w:rsidRPr="000B4C66">
        <w:rPr>
          <w:w w:val="110"/>
          <w:lang w:val="pt-BR"/>
        </w:rPr>
        <w:t xml:space="preserve">, Ryan e </w:t>
      </w:r>
      <w:proofErr w:type="spellStart"/>
      <w:r w:rsidRPr="000B4C66">
        <w:rPr>
          <w:w w:val="110"/>
          <w:lang w:val="pt-BR"/>
        </w:rPr>
        <w:t>Franzetta</w:t>
      </w:r>
      <w:proofErr w:type="spellEnd"/>
      <w:r w:rsidRPr="000B4C66">
        <w:rPr>
          <w:w w:val="110"/>
          <w:lang w:val="pt-BR"/>
        </w:rPr>
        <w:t xml:space="preserve">, 2007; Stone e </w:t>
      </w:r>
      <w:proofErr w:type="spellStart"/>
      <w:r w:rsidRPr="000B4C66">
        <w:rPr>
          <w:w w:val="110"/>
          <w:lang w:val="pt-BR"/>
        </w:rPr>
        <w:t>Ingham</w:t>
      </w:r>
      <w:proofErr w:type="spellEnd"/>
      <w:r w:rsidRPr="000B4C66">
        <w:rPr>
          <w:w w:val="110"/>
          <w:lang w:val="pt-BR"/>
        </w:rPr>
        <w:t xml:space="preserve">, 2002; </w:t>
      </w:r>
      <w:proofErr w:type="spellStart"/>
      <w:r w:rsidRPr="000B4C66">
        <w:rPr>
          <w:w w:val="110"/>
          <w:lang w:val="pt-BR"/>
        </w:rPr>
        <w:t>Widman</w:t>
      </w:r>
      <w:proofErr w:type="spellEnd"/>
      <w:r w:rsidRPr="000B4C66">
        <w:rPr>
          <w:w w:val="110"/>
          <w:lang w:val="pt-BR"/>
        </w:rPr>
        <w:t xml:space="preserve">, </w:t>
      </w:r>
      <w:proofErr w:type="spellStart"/>
      <w:r w:rsidRPr="000B4C66">
        <w:rPr>
          <w:w w:val="110"/>
          <w:lang w:val="pt-BR"/>
        </w:rPr>
        <w:t>Welsh</w:t>
      </w:r>
      <w:proofErr w:type="spellEnd"/>
      <w:r w:rsidRPr="000B4C66">
        <w:rPr>
          <w:w w:val="110"/>
          <w:lang w:val="pt-BR"/>
        </w:rPr>
        <w:t xml:space="preserve">, </w:t>
      </w:r>
      <w:proofErr w:type="spellStart"/>
      <w:r w:rsidRPr="000B4C66">
        <w:rPr>
          <w:w w:val="110"/>
          <w:lang w:val="pt-BR"/>
        </w:rPr>
        <w:t>McNulty</w:t>
      </w:r>
      <w:proofErr w:type="spellEnd"/>
      <w:r w:rsidRPr="000B4C66">
        <w:rPr>
          <w:w w:val="110"/>
          <w:lang w:val="pt-BR"/>
        </w:rPr>
        <w:t>, &amp; Little, 2006).</w:t>
      </w:r>
    </w:p>
    <w:p w:rsidR="00AF199C" w:rsidRPr="000B4C66" w:rsidRDefault="000B4C66" w:rsidP="000B4C66">
      <w:pPr>
        <w:pStyle w:val="Corpodetexto"/>
        <w:spacing w:line="232" w:lineRule="auto"/>
        <w:ind w:left="117" w:right="39" w:firstLine="240"/>
        <w:jc w:val="both"/>
        <w:rPr>
          <w:sz w:val="14"/>
          <w:lang w:val="pt-BR"/>
        </w:rPr>
      </w:pPr>
      <w:r w:rsidRPr="000B4C66">
        <w:rPr>
          <w:w w:val="105"/>
          <w:lang w:val="pt-BR"/>
        </w:rPr>
        <w:t>Terceiro, a saúde sexual do adolescente requer conexão com os pais e outros cuidadores (</w:t>
      </w:r>
      <w:r w:rsidR="00CF5537">
        <w:rPr>
          <w:w w:val="105"/>
          <w:lang w:val="pt-BR"/>
        </w:rPr>
        <w:t>“</w:t>
      </w:r>
      <w:r w:rsidRPr="000B4C66">
        <w:rPr>
          <w:w w:val="105"/>
          <w:lang w:val="pt-BR"/>
        </w:rPr>
        <w:t>C</w:t>
      </w:r>
      <w:r w:rsidR="00CF5537">
        <w:rPr>
          <w:w w:val="105"/>
          <w:lang w:val="pt-BR"/>
        </w:rPr>
        <w:t>”</w:t>
      </w:r>
      <w:r w:rsidRPr="000B4C66">
        <w:rPr>
          <w:w w:val="105"/>
          <w:lang w:val="pt-BR"/>
        </w:rPr>
        <w:t xml:space="preserve">). As comunicações dos pais sobre sexo podem ter efeitos positivos na saúde quando a relação entre pais e adolescentes é estreita, a comunicação é frequente e os adolescentes veem os pais como abertos, qualificados e confortáveis (Martino, Elliott, Corona, </w:t>
      </w:r>
      <w:proofErr w:type="spellStart"/>
      <w:r w:rsidRPr="000B4C66">
        <w:rPr>
          <w:w w:val="105"/>
          <w:lang w:val="pt-BR"/>
        </w:rPr>
        <w:t>Kanouse</w:t>
      </w:r>
      <w:proofErr w:type="spellEnd"/>
      <w:r w:rsidRPr="000B4C66">
        <w:rPr>
          <w:w w:val="105"/>
          <w:lang w:val="pt-BR"/>
        </w:rPr>
        <w:t xml:space="preserve">, &amp; Schuster, 2008; Whitaker, Miller, May &amp; </w:t>
      </w:r>
      <w:proofErr w:type="spellStart"/>
      <w:r w:rsidRPr="000B4C66">
        <w:rPr>
          <w:w w:val="105"/>
          <w:lang w:val="pt-BR"/>
        </w:rPr>
        <w:t>Levin</w:t>
      </w:r>
      <w:proofErr w:type="spellEnd"/>
      <w:r w:rsidRPr="000B4C66">
        <w:rPr>
          <w:w w:val="105"/>
          <w:lang w:val="pt-BR"/>
        </w:rPr>
        <w:t>, 1999</w:t>
      </w:r>
      <w:r w:rsidR="00CF5537">
        <w:rPr>
          <w:w w:val="105"/>
          <w:lang w:val="pt-BR"/>
        </w:rPr>
        <w:t>). De fato, a conexão entre pai</w:t>
      </w:r>
      <w:r w:rsidRPr="000B4C66">
        <w:rPr>
          <w:w w:val="105"/>
          <w:lang w:val="pt-BR"/>
        </w:rPr>
        <w:t>(s) e adolescente geralmente se divide em relação à questão do sexo, com os pais transmitindo mensagens agourentas e os adolescentes escondendo atividades sexuais. Profissionais de saúde, educadores, clérigos e até aqueles que trabalham na mídia devem ajudar pais e adolescentes a preencher essa lacuna de conexão.</w:t>
      </w:r>
      <w:r w:rsidR="008653D0" w:rsidRPr="000B4C66">
        <w:rPr>
          <w:lang w:val="pt-BR"/>
        </w:rPr>
        <w:br w:type="column"/>
      </w:r>
    </w:p>
    <w:p w:rsidR="000B4C66" w:rsidRDefault="000B4C66">
      <w:pPr>
        <w:pStyle w:val="Corpodetexto"/>
        <w:spacing w:line="232" w:lineRule="auto"/>
        <w:ind w:left="117" w:right="292" w:firstLine="239"/>
        <w:jc w:val="both"/>
        <w:rPr>
          <w:w w:val="110"/>
          <w:lang w:val="pt-BR"/>
        </w:rPr>
      </w:pPr>
      <w:r w:rsidRPr="000B4C66">
        <w:rPr>
          <w:w w:val="110"/>
          <w:lang w:val="pt-BR"/>
        </w:rPr>
        <w:t xml:space="preserve">Os componentes finais do modelo conceitual ABC-e-D dizem respeito aos dois </w:t>
      </w:r>
      <w:r w:rsidR="00CF5537">
        <w:rPr>
          <w:w w:val="110"/>
          <w:lang w:val="pt-BR"/>
        </w:rPr>
        <w:t>“</w:t>
      </w:r>
      <w:proofErr w:type="spellStart"/>
      <w:r w:rsidRPr="000B4C66">
        <w:rPr>
          <w:w w:val="110"/>
          <w:lang w:val="pt-BR"/>
        </w:rPr>
        <w:t>Ds</w:t>
      </w:r>
      <w:proofErr w:type="spellEnd"/>
      <w:r w:rsidR="00CF5537">
        <w:rPr>
          <w:w w:val="110"/>
          <w:lang w:val="pt-BR"/>
        </w:rPr>
        <w:t>”</w:t>
      </w:r>
      <w:r w:rsidRPr="000B4C66">
        <w:rPr>
          <w:w w:val="110"/>
          <w:lang w:val="pt-BR"/>
        </w:rPr>
        <w:t>: reconhecimento de diversidades e remoção de disparidades no acesso a recursos socioeconômicos vitais. Os adolescentes são diversos no ritmo de seu desenvolvimento sexual e emocional, em suas orientações sexuais e identificações de gênero e nos valores culturais que moldam suas percepções e experiências de sexualidade. As políticas de educação e saúde devem honrar essas diversidades e ensinar os jovens a respeitar sua própria distinção e a dos outros. Mas respeitar a diferença não é o mesmo que aceitar a disparidade. Muitos resultados negativos na saúde sexual de adolescentes resultam da falta de serviços e oportunidades de educação e emprego de qualidade. A pobreza mina direta e indiretamente muitos aspectos da sexualidade saudável, incluindo sentimentos de controle sobre a vida e o uso de contraceptivos. Portanto, garantir que os adolescentes e suas famílias tenham acesso a recursos básicos é essencial para a saúde sexual dos adolescentes.</w:t>
      </w:r>
    </w:p>
    <w:p w:rsidR="000B4C66" w:rsidRDefault="000B4C66" w:rsidP="000B4C66">
      <w:pPr>
        <w:pStyle w:val="Corpodetexto"/>
        <w:spacing w:line="232" w:lineRule="auto"/>
        <w:ind w:left="117" w:right="292" w:firstLine="239"/>
        <w:jc w:val="both"/>
        <w:rPr>
          <w:w w:val="105"/>
          <w:lang w:val="pt-BR"/>
        </w:rPr>
      </w:pPr>
      <w:r w:rsidRPr="000B4C66">
        <w:rPr>
          <w:w w:val="105"/>
          <w:lang w:val="pt-BR"/>
        </w:rPr>
        <w:t>A implementação dessa estrutura ABC-e-D envolve garantir o acesso dos jovens a serviços abrangentes de educação e saúde sexual. Mas também exige que os formuladores de políticas ampliem os objetivos de educação e saúde além do atraso, prevenção de doenças e gravidez para incluir as habilidades, relacionamentos e recursos que os jovens precisam para um desenvolvimento sexual saudável. Os pesquisadores também devem ampliar definições e agendas para a pesquisa em saúde sexual de adolescentes. Fornecedores e educadores devem abordar a sexualidade adolescente na perspectiva das trajetórias de desenvolvimento individual e diversificada dos jovens e relacionar seu desenvolvimento sexual ao desenvolvimento emocional e relacional mais amplo. Reforçar a conexão entre adolescente e cuidador durante o desenvolvimento sexual e relacional do adolescente, ajudando os pais a adquirir ferramentas mais eficazes para a comunicação e capacitando os jovens a confiar e procurar assistência de adultos de confiança quando necessário, devem ser objetivos abrangentes.</w:t>
      </w:r>
    </w:p>
    <w:p w:rsidR="00AF199C" w:rsidRPr="000B4C66" w:rsidRDefault="000B4C66" w:rsidP="000B4C66">
      <w:pPr>
        <w:pStyle w:val="Corpodetexto"/>
        <w:spacing w:line="232" w:lineRule="auto"/>
        <w:ind w:left="117" w:right="292" w:firstLine="239"/>
        <w:jc w:val="both"/>
        <w:rPr>
          <w:sz w:val="26"/>
          <w:lang w:val="pt-BR"/>
        </w:rPr>
      </w:pPr>
      <w:r w:rsidRPr="000B4C66">
        <w:rPr>
          <w:w w:val="110"/>
          <w:lang w:val="pt-BR"/>
        </w:rPr>
        <w:t xml:space="preserve">Ao trazer os componentes positivos da sexualidade adolescente à vista, prazer, intimidade e descoberta, essa estrutura ABC-e-D não nega os perigos potenciais do sexo. Em vez disso, o novo paradigma expande as ferramentas e os modelos disponíveis para lidar com esses perigos: Os jovens que têm acesso às necessidades básicas da vida e que desenvolveram o autoconhecimento e a </w:t>
      </w:r>
      <w:proofErr w:type="spellStart"/>
      <w:r w:rsidRPr="000B4C66">
        <w:rPr>
          <w:w w:val="110"/>
          <w:lang w:val="pt-BR"/>
        </w:rPr>
        <w:t>auto-regulação</w:t>
      </w:r>
      <w:proofErr w:type="spellEnd"/>
      <w:r w:rsidRPr="000B4C66">
        <w:rPr>
          <w:w w:val="110"/>
          <w:lang w:val="pt-BR"/>
        </w:rPr>
        <w:t xml:space="preserve"> sexual necessários para exercer a autonomia sexual estão muito mais bem equipados para fa</w:t>
      </w:r>
      <w:r w:rsidR="00CF5537">
        <w:rPr>
          <w:w w:val="110"/>
          <w:lang w:val="pt-BR"/>
        </w:rPr>
        <w:t>zer</w:t>
      </w:r>
      <w:r w:rsidRPr="000B4C66">
        <w:rPr>
          <w:w w:val="110"/>
          <w:lang w:val="pt-BR"/>
        </w:rPr>
        <w:t xml:space="preserve"> escolhas intencionais e respeitosas sobre quando e como se envolver em sexo. E quando prestadores e educadores colocam o sexo no contexto dos relacionamentos íntimos dos adolescentes, eles podem ser mais capazes de ajudar os jovens a avaliar criticamente </w:t>
      </w:r>
      <w:r w:rsidR="00CF5537">
        <w:rPr>
          <w:w w:val="110"/>
          <w:lang w:val="pt-BR"/>
        </w:rPr>
        <w:t>as</w:t>
      </w:r>
      <w:r w:rsidRPr="000B4C66">
        <w:rPr>
          <w:w w:val="110"/>
          <w:lang w:val="pt-BR"/>
        </w:rPr>
        <w:t xml:space="preserve"> relações </w:t>
      </w:r>
      <w:r w:rsidR="00CF5537">
        <w:rPr>
          <w:w w:val="110"/>
          <w:lang w:val="pt-BR"/>
        </w:rPr>
        <w:t xml:space="preserve">abusivas </w:t>
      </w:r>
      <w:r w:rsidRPr="000B4C66">
        <w:rPr>
          <w:w w:val="110"/>
          <w:lang w:val="pt-BR"/>
        </w:rPr>
        <w:t xml:space="preserve">e estabelecer o relacionamento necessário para facilitar a </w:t>
      </w:r>
      <w:r w:rsidR="00CF5537">
        <w:rPr>
          <w:w w:val="110"/>
          <w:lang w:val="pt-BR"/>
        </w:rPr>
        <w:t>revelação, por parte</w:t>
      </w:r>
      <w:r w:rsidRPr="000B4C66">
        <w:rPr>
          <w:w w:val="110"/>
          <w:lang w:val="pt-BR"/>
        </w:rPr>
        <w:t xml:space="preserve"> dos adolescentes</w:t>
      </w:r>
      <w:r w:rsidR="00CF5537">
        <w:rPr>
          <w:w w:val="110"/>
          <w:lang w:val="pt-BR"/>
        </w:rPr>
        <w:t>, de relações que envolvem</w:t>
      </w:r>
      <w:r w:rsidRPr="000B4C66">
        <w:rPr>
          <w:w w:val="110"/>
          <w:lang w:val="pt-BR"/>
        </w:rPr>
        <w:t xml:space="preserve"> violação e coerção. Por fim, colocar em primeiro plano os aspectos saudáveis da sexualidade e dos relacionamentos incentiva os jovens a formular suas próprias visões e expectativas positivas.</w:t>
      </w:r>
    </w:p>
    <w:p w:rsidR="00AF199C" w:rsidRDefault="008653D0">
      <w:pPr>
        <w:pStyle w:val="Corpodetexto"/>
        <w:spacing w:before="6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3828415</wp:posOffset>
                </wp:positionH>
                <wp:positionV relativeFrom="paragraph">
                  <wp:posOffset>161290</wp:posOffset>
                </wp:positionV>
                <wp:extent cx="306895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0"/>
                        </a:xfrm>
                        <a:prstGeom prst="line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C275EEA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5pt,12.7pt" to="543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2D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" strokeweight=".51pt">
                <w10:wrap type="topAndBottom" anchorx="page"/>
              </v:line>
            </w:pict>
          </mc:Fallback>
        </mc:AlternateContent>
      </w:r>
    </w:p>
    <w:p w:rsidR="00AF199C" w:rsidRDefault="008653D0">
      <w:pPr>
        <w:pStyle w:val="Corpodetexto"/>
        <w:spacing w:before="5"/>
        <w:ind w:left="296"/>
        <w:jc w:val="both"/>
        <w:rPr>
          <w:rFonts w:ascii="Verdana"/>
        </w:rPr>
      </w:pPr>
      <w:r>
        <w:rPr>
          <w:rFonts w:ascii="Verdana"/>
        </w:rPr>
        <w:t>Author</w:t>
      </w:r>
      <w:r>
        <w:rPr>
          <w:rFonts w:ascii="Verdana"/>
          <w:spacing w:val="20"/>
        </w:rPr>
        <w:t xml:space="preserve"> </w:t>
      </w:r>
      <w:r>
        <w:rPr>
          <w:rFonts w:ascii="Verdana"/>
        </w:rPr>
        <w:t>Descriptions</w:t>
      </w:r>
    </w:p>
    <w:p w:rsidR="00AF199C" w:rsidRDefault="008653D0">
      <w:pPr>
        <w:spacing w:before="141" w:line="235" w:lineRule="auto"/>
        <w:ind w:left="296" w:right="114"/>
        <w:jc w:val="both"/>
        <w:rPr>
          <w:sz w:val="12"/>
        </w:rPr>
      </w:pPr>
      <w:r>
        <w:rPr>
          <w:w w:val="105"/>
          <w:sz w:val="12"/>
        </w:rPr>
        <w:t xml:space="preserve">Amy </w:t>
      </w:r>
      <w:r>
        <w:rPr>
          <w:spacing w:val="-4"/>
          <w:w w:val="105"/>
          <w:sz w:val="12"/>
        </w:rPr>
        <w:t xml:space="preserve">T. </w:t>
      </w:r>
      <w:proofErr w:type="spellStart"/>
      <w:r>
        <w:rPr>
          <w:w w:val="105"/>
          <w:sz w:val="12"/>
        </w:rPr>
        <w:t>Schalet</w:t>
      </w:r>
      <w:proofErr w:type="spellEnd"/>
      <w:r>
        <w:rPr>
          <w:w w:val="105"/>
          <w:sz w:val="12"/>
        </w:rPr>
        <w:t xml:space="preserve"> is an Assistant Professor of Sociology. Her book, </w:t>
      </w:r>
      <w:r>
        <w:rPr>
          <w:rFonts w:ascii="Book Antiqua"/>
          <w:i/>
          <w:w w:val="105"/>
          <w:sz w:val="12"/>
        </w:rPr>
        <w:t>Not Under My Roof: Parents, Teens, and the Culture of Sex</w:t>
      </w:r>
      <w:r>
        <w:rPr>
          <w:w w:val="105"/>
          <w:sz w:val="12"/>
        </w:rPr>
        <w:t xml:space="preserve">, will be published later this year </w:t>
      </w:r>
      <w:proofErr w:type="gramStart"/>
      <w:r>
        <w:rPr>
          <w:w w:val="105"/>
          <w:sz w:val="12"/>
        </w:rPr>
        <w:t>by  the</w:t>
      </w:r>
      <w:proofErr w:type="gramEnd"/>
      <w:r>
        <w:rPr>
          <w:w w:val="105"/>
          <w:sz w:val="12"/>
        </w:rPr>
        <w:t xml:space="preserve"> University of Chicago</w:t>
      </w:r>
      <w:r>
        <w:rPr>
          <w:spacing w:val="29"/>
          <w:w w:val="105"/>
          <w:sz w:val="12"/>
        </w:rPr>
        <w:t xml:space="preserve"> </w:t>
      </w:r>
      <w:r>
        <w:rPr>
          <w:w w:val="105"/>
          <w:sz w:val="12"/>
        </w:rPr>
        <w:t>Press.</w:t>
      </w:r>
    </w:p>
    <w:sectPr w:rsidR="00AF199C">
      <w:type w:val="continuous"/>
      <w:pgSz w:w="11520" w:h="15480"/>
      <w:pgMar w:top="840" w:right="540" w:bottom="280" w:left="540" w:header="720" w:footer="720" w:gutter="0"/>
      <w:cols w:num="2" w:space="720" w:equalWidth="0">
        <w:col w:w="5132" w:space="60"/>
        <w:col w:w="52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9C"/>
    <w:rsid w:val="000B4C66"/>
    <w:rsid w:val="0053389D"/>
    <w:rsid w:val="008653D0"/>
    <w:rsid w:val="00AF199C"/>
    <w:rsid w:val="00C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5A76A-4F9E-47ED-BD1D-6E1CD5E3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F7AA-2D05-4F68-A30B-2138EFA4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1983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Beyond Abstinence and Risk: A New Paradigm for Adolescent Sexual Health</vt:lpstr>
    </vt:vector>
  </TitlesOfParts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Abstinence and Risk: A New Paradigm for Adolescent Sexual Health</dc:title>
  <dc:subject>Women's Health Issues, 21 (2011) 5-7. doi:10.1016/j.whi.2011.01.007</dc:subject>
  <dc:creator>Amy T. Schalet PhD</dc:creator>
  <cp:lastModifiedBy>Usuario</cp:lastModifiedBy>
  <cp:revision>2</cp:revision>
  <dcterms:created xsi:type="dcterms:W3CDTF">2020-06-12T14:26:00Z</dcterms:created>
  <dcterms:modified xsi:type="dcterms:W3CDTF">2020-06-12T14:26:00Z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Elsevier</vt:lpwstr>
  </property>
  <property fmtid="{D5CDD505-2E9C-101B-9397-08002B2CF9AE}" pid="4" name="LastSaved">
    <vt:filetime>2019-11-27T00:00:00Z</vt:filetime>
  </property>
</Properties>
</file>