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8C25" w14:textId="77777777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Faculdade de Direito da Universidade de São Paulo</w:t>
      </w:r>
    </w:p>
    <w:p w14:paraId="37741945" w14:textId="00C25836" w:rsidR="006214A4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BED18E" w14:textId="1B7A1146" w:rsidR="002C2610" w:rsidRDefault="002C2610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F57463" w14:textId="77777777" w:rsidR="002C2610" w:rsidRPr="00B43BAA" w:rsidRDefault="002C2610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FA3DE3" w14:textId="77777777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DPC 5921 – Avanços, Retrocessos e Perspectivas do Direito Processual Civil Brasileiro Pós-CPC/2015</w:t>
      </w:r>
    </w:p>
    <w:p w14:paraId="4A252041" w14:textId="6FDE41C1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5341F2" w14:textId="51EFBB8C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1º semestre de 202</w:t>
      </w:r>
      <w:r w:rsidR="004310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3</w:t>
      </w:r>
      <w:r w:rsidRPr="00B43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 – quartas-feiras, das 17:30h às 21:30h – EAD</w:t>
      </w:r>
    </w:p>
    <w:p w14:paraId="4E159CB5" w14:textId="3C8D8366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29A3A5" w14:textId="77777777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Professor responsável</w:t>
      </w:r>
      <w:r w:rsidRPr="00B43B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Professor Walter Piva Rodrigues</w:t>
      </w:r>
    </w:p>
    <w:p w14:paraId="0E77CD42" w14:textId="7D2BE6F3" w:rsidR="006214A4" w:rsidRPr="00B43BAA" w:rsidRDefault="006214A4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43B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Assistentes</w:t>
      </w:r>
      <w:r w:rsidRPr="00B43B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Rodolfo da Costa Manso Real Amadeo, Júlio César Bueno, Luiz Dellore, Mariana Capela Lombardi Moreto, Marco Antonio Perez de Oliveira e Daniel Guimarães Zveibil.</w:t>
      </w:r>
    </w:p>
    <w:p w14:paraId="1847F363" w14:textId="62CDC3E7" w:rsidR="00DA5DDB" w:rsidRDefault="00DA5DDB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E14FE2" w14:textId="77777777" w:rsidR="002C2610" w:rsidRPr="00B43BAA" w:rsidRDefault="002C2610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174A1B" w14:textId="77777777" w:rsidR="00DA5DDB" w:rsidRPr="00B43BAA" w:rsidRDefault="00DA5DDB" w:rsidP="00FD4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t-BR"/>
        </w:rPr>
        <w:t>Programa das aulas</w:t>
      </w:r>
    </w:p>
    <w:p w14:paraId="08DD33C2" w14:textId="1EB401F6" w:rsidR="00DA5DDB" w:rsidRDefault="00DA5DDB" w:rsidP="00B4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A0810" w14:textId="735A6945" w:rsidR="006214A4" w:rsidRPr="00B43BAA" w:rsidRDefault="006214A4" w:rsidP="00B4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417"/>
      </w:tblGrid>
      <w:tr w:rsidR="00987A84" w:rsidRPr="00987A84" w14:paraId="75D1BA03" w14:textId="77777777" w:rsidTr="00325E54">
        <w:tc>
          <w:tcPr>
            <w:tcW w:w="2127" w:type="dxa"/>
            <w:tcBorders>
              <w:bottom w:val="single" w:sz="4" w:space="0" w:color="auto"/>
            </w:tcBorders>
            <w:shd w:val="clear" w:color="auto" w:fill="8A0000"/>
          </w:tcPr>
          <w:p w14:paraId="66D35BA2" w14:textId="77777777" w:rsidR="00DA5DDB" w:rsidRPr="00987A84" w:rsidRDefault="00DA5DD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1</w:t>
            </w:r>
          </w:p>
          <w:p w14:paraId="7598C953" w14:textId="7347A2ED" w:rsidR="00B91026" w:rsidRPr="00987A84" w:rsidRDefault="00B91026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8A0000"/>
          </w:tcPr>
          <w:p w14:paraId="01705A29" w14:textId="584E2183" w:rsidR="00B91026" w:rsidRPr="00987A84" w:rsidRDefault="00DA5DD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Apresentação do curso, divisão de temas de seminário e indicações bibliográficas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A0000"/>
          </w:tcPr>
          <w:p w14:paraId="4E3F84AD" w14:textId="1E77AA63" w:rsidR="00B91026" w:rsidRPr="00987A84" w:rsidRDefault="00431049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15</w:t>
            </w:r>
            <w:r w:rsidR="00DA5DDB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/03/202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7DCA5132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455C3973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7C665B52" w14:textId="164AFF7D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Comparecimento obrigatório, para fins da apresentação do curso e distribuição das responsabilidades pelos seminários.</w:t>
            </w:r>
          </w:p>
        </w:tc>
      </w:tr>
      <w:tr w:rsidR="00987A84" w:rsidRPr="00B43BAA" w14:paraId="11A868A7" w14:textId="77777777" w:rsidTr="00325E54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0F65F" w14:textId="77777777" w:rsidR="00B91026" w:rsidRPr="00B43BAA" w:rsidRDefault="00B91026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87912" w14:textId="77777777" w:rsidR="00B91026" w:rsidRPr="00B43BAA" w:rsidRDefault="00B91026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98A38" w14:textId="77777777" w:rsidR="00B91026" w:rsidRPr="00B43BAA" w:rsidRDefault="00B91026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03AE5" w:rsidRPr="00303AE5" w14:paraId="73D02227" w14:textId="77777777" w:rsidTr="00D83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</w:tcPr>
          <w:p w14:paraId="560DA87D" w14:textId="77777777" w:rsidR="00DA001C" w:rsidRPr="00303AE5" w:rsidRDefault="00DA001C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03AE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2</w:t>
            </w:r>
          </w:p>
          <w:p w14:paraId="56BE5538" w14:textId="6D305C08" w:rsidR="00DA001C" w:rsidRPr="00303AE5" w:rsidRDefault="00DA001C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</w:tcPr>
          <w:p w14:paraId="5ED825C6" w14:textId="264E50D1" w:rsidR="00DA001C" w:rsidRPr="00303AE5" w:rsidRDefault="00DA001C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303AE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Transformação e estado atual do Direito Processual Civil brasileiro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</w:tcPr>
          <w:p w14:paraId="252E145E" w14:textId="587638C3" w:rsidR="00DA001C" w:rsidRPr="00303AE5" w:rsidRDefault="00431049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22</w:t>
            </w:r>
            <w:r w:rsidR="00DA001C" w:rsidRPr="00303AE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  <w:r w:rsidR="00DA001C" w:rsidRPr="00303AE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7ED1516D" w14:textId="77777777" w:rsidTr="00D833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15D" w14:textId="2ED375F6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E0F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DINAMARCO, Cândido Rangel; BADARÓ, Gustavo Henrique Righi Ivahy; LOPES, Bruno Vasconcelos Carrilho.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Teoria Geral do Processo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32ª ed. São Paulo: Malheiros, 2020, pp. 161-184.</w:t>
            </w:r>
          </w:p>
          <w:p w14:paraId="66705748" w14:textId="256D4E03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MESQUITA. José Ignacio Botelho de. “As novas tendências do direito processual: uma contribuição para o seu reexame”.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Teses, Estudos e Pareceres de Processo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1. São Paulo: RT, 2005, pp. 263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-307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FD4FD8" w:rsidRPr="00B43BAA" w14:paraId="7F704AA7" w14:textId="77777777" w:rsidTr="00D833FB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2DAE7F" w14:textId="016133B7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A8DDF8" w14:textId="52B26C4F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CARMONA, Carlos Alberto (coord.).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Reflexões sobre a Reforma do Código de Processo Civil: Estudos em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Homenagem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a Ada Pellegrini Grinover, Cândido Rangel Dinamarco e Kazuo Watanabe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Atlas, 2006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pp. 01-60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70583EC5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DIDIER JR., Fredie, “Os três modelos de direito processual: inquisitivo, dispositivo e cooperativo”.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CRUZ E TUCCI, José Rogério; RODRIGUES, Walter Piva; AMADEO, Rodolfo da Costa Manso Real (coords.),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Processo Civil: homenagem a José Ignacio Botelho de Mesquita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Quartier Latin, 2013, pp. 262-273.</w:t>
            </w:r>
          </w:p>
          <w:p w14:paraId="046CF6F1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DINAMARCO, Cândido Rangel. “O novo Código de Processo Civil brasileiro e a ordem processual civil vigente”.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Instituições de Direito Processual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I. 8ª ed. São Paulo: Malheiros, 2016, pp. 33-86.</w:t>
            </w:r>
          </w:p>
          <w:p w14:paraId="634A3A44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LOBO DA COSTA, Moacyr.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Breve notícia histórica do direito processual civil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brasileiro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e de sua literatura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RT, 1970.</w:t>
            </w:r>
          </w:p>
          <w:p w14:paraId="31AA1DD1" w14:textId="47D33874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MESQUITA. José Ignacio Botelho de. “Apresentação: Teoria e prática do processo civil e comercial”.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Teses, Estudos e Pareceres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Processo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1. São Paulo: RT, 2005, pp. 308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-314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6646AFF8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MONTEIRO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NETO, João Pereira Monteiro. “Análise comparativa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das exposições de motivos dos Códigos de Processo Civil brasileiros”.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AMADEO, Rodolfo da Costa Manso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et al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.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Indaiatuba: Foco, 2019, pp. 325-360.</w:t>
            </w:r>
          </w:p>
          <w:p w14:paraId="54FCC076" w14:textId="35128A4A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SALLES, Carlos Alberto. “Processo (in)civil: desprocedimentalização e segurança jurídica-processual no CPC de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AMADEO, Rodolfo da Costa Manso </w:t>
            </w:r>
            <w:r w:rsidR="00933CA1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="00933CA1"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et 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.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Indaiatuba: Foco, 2019, pp. 33</w:t>
            </w:r>
            <w:r w:rsidR="00575D2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-45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</w:t>
            </w:r>
          </w:p>
        </w:tc>
      </w:tr>
      <w:tr w:rsidR="00FD4FD8" w:rsidRPr="00B43BAA" w14:paraId="6DB65D0F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11ECD611" w14:textId="3EE6F02A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1DCE7AAB" w14:textId="688067B4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575D27"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Observando as alterações implementadas pelo CPC/2015, identifique 5 pontos que representaram avanços e 5 pontos que representam retrocessos à luz da história do processo civil brasileiro.</w:t>
            </w:r>
          </w:p>
          <w:p w14:paraId="1544A4DA" w14:textId="55FAE8D4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4B1B3468" w14:textId="7032552F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31049" w:rsidRPr="00B43BAA" w14:paraId="1C0C9DEB" w14:textId="77777777" w:rsidTr="00325E54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6F2E1" w14:textId="77777777" w:rsidR="00431049" w:rsidRPr="00B43BAA" w:rsidRDefault="00431049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074D6" w14:textId="77777777" w:rsidR="00431049" w:rsidRPr="00B43BAA" w:rsidRDefault="00431049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EFA14" w14:textId="77777777" w:rsidR="00431049" w:rsidRPr="00B43BAA" w:rsidRDefault="00431049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06D6580B" w14:textId="77777777" w:rsidTr="00325E54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7895C7F3" w14:textId="77777777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3</w:t>
            </w:r>
          </w:p>
          <w:p w14:paraId="2BF7117E" w14:textId="61895936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4066D62E" w14:textId="0995A0FD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Procedimento comum, adaptabilidade procedimental e o esvaziamento dos procedimentos especiais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44338085" w14:textId="40F9BE09" w:rsidR="005F639F" w:rsidRPr="00987A84" w:rsidRDefault="00431049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29</w:t>
            </w:r>
            <w:r w:rsidR="005F639F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  <w:r w:rsidR="005F639F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427FA995" w14:textId="77777777" w:rsidTr="00C05E7E">
        <w:tc>
          <w:tcPr>
            <w:tcW w:w="2127" w:type="dxa"/>
          </w:tcPr>
          <w:p w14:paraId="67FC5CC9" w14:textId="544D05C0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5EFB77FC" w14:textId="554AB2E8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LACERDA, Galeno. “Mandados e Sentenças Liminares”.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da Faculdade de Direito UFPR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34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14, </w:t>
            </w:r>
            <w:r w:rsidR="00E423DC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0, 1971, disponível </w:t>
            </w:r>
            <w:r w:rsidR="00F34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&lt;</w:t>
            </w:r>
            <w:hyperlink r:id="rId10" w:history="1">
              <w:r w:rsidRPr="00AA5A5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http://revistas.ufpr.br/direito/article/view/7191/5146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&gt;.</w:t>
            </w:r>
          </w:p>
          <w:p w14:paraId="7036F9E0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PASSOS, José Joaquim Calmon de. “Teoria geral dos procedimentos especiais”.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FARIAS, Cristiano Chaves de; DIDIER JR., Fredie (coords).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Procedimentos especiais cíveis: legislação extravagante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Saraiva, 2003.</w:t>
            </w:r>
          </w:p>
          <w:p w14:paraId="74E64F5D" w14:textId="2028B80B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SILVA, Ovídio A. Baptista da. “A ‘Plenitude da Defesa’ no Processo Civil”.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 Sentença Liminar à Nulidade da Sentença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Saraiva, 2002.</w:t>
            </w:r>
          </w:p>
        </w:tc>
      </w:tr>
      <w:tr w:rsidR="00FD4FD8" w:rsidRPr="00B43BAA" w14:paraId="2D75DECC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2DC8B0B0" w14:textId="29E28C17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3D5553FC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PISANI, Andrea Proto. “Appunti sulla Tutela Sommaria (Note de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iure condito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e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de iure condendo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)”.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 xml:space="preserve">I Processi Speciali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(Studi Offerti a Virgilio Andrioli dai suoi Allievi). Napoli: Jovene, 1979.</w:t>
            </w:r>
          </w:p>
          <w:p w14:paraId="0D83CBF5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DENTI Vittorio. “Il processo di cognizione nella storia delle riforme”.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Rivista Trimestrale di Diritto e Procedura Civile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, Settembre-1993, Ano XLVII,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03, pp. 805-816.</w:t>
            </w:r>
          </w:p>
          <w:p w14:paraId="14342E94" w14:textId="4DE9BEAF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SICA, Heitor Vitor Mendonça. “Reflexões em torno da teoria geral dos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procedimentos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especiais”.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="000271B1"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="00027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7C734F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208</w:t>
            </w:r>
            <w:r w:rsidR="007C734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ju</w:t>
            </w:r>
            <w:r w:rsidR="007C734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n.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2012, pp. 61 e ss.</w:t>
            </w:r>
          </w:p>
          <w:p w14:paraId="33ED30CC" w14:textId="4BBCE56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lastRenderedPageBreak/>
              <w:t xml:space="preserve">ZVEIBIL, Daniel Guimarães.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O mandado de segurança no sistema processual brasileiro: contribuição para revitalização de sua “eficácia potenciada.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Tese de doutoramento na Faculdade de Direito da Universidade de São Paulo. São Paulo: [s.n.], 2017, cap. IV, item </w:t>
            </w:r>
            <w:r w:rsidR="00E423DC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30 (Ideias consolidadas e conclusões parciais).</w:t>
            </w:r>
          </w:p>
        </w:tc>
      </w:tr>
      <w:tr w:rsidR="00FD4FD8" w:rsidRPr="00B43BAA" w14:paraId="64CB9D1B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1DF1060A" w14:textId="7325131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11693A7" w14:textId="551393C9" w:rsidR="00FD4FD8" w:rsidRPr="00B43BAA" w:rsidRDefault="00D833F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Procedimentos especiais: ainda necessitamos? Origem, sentido das reformas dos últimos 100 anos, se há fundamento constitucional-convencional para ampla ou total </w:t>
            </w:r>
            <w:r w:rsidR="00FD4FD8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eliminação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ou qual seria um critério constitucional-convencional para manutenção de determinados procedimentos especiais, e qual o papel do princípio da adaptabilidade na tensão entre </w:t>
            </w:r>
            <w:r w:rsidR="00FD4FD8"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técnica cognitiva plena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 </w:t>
            </w:r>
            <w:r w:rsidR="00FD4FD8"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técnica de cognição sumária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7A2B2676" w14:textId="36A48B86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77ED470C" w14:textId="03D5A842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7C508CC4" w14:textId="77777777" w:rsidTr="00325E54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F77D" w14:textId="233DD8AA" w:rsidR="00C311D2" w:rsidRPr="00B43BAA" w:rsidRDefault="00C311D2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158B8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54A4E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1049" w:rsidRPr="00987A84" w14:paraId="4C4CC565" w14:textId="77777777" w:rsidTr="00976D3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A0000"/>
          </w:tcPr>
          <w:p w14:paraId="1E7AA095" w14:textId="77777777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8A0000"/>
          </w:tcPr>
          <w:p w14:paraId="616F377D" w14:textId="6EA88C1D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Semana Santa - Não haverá aula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8A0000"/>
          </w:tcPr>
          <w:p w14:paraId="02B09B91" w14:textId="13C10DD8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05</w:t>
            </w: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431049" w:rsidRPr="00B43BAA" w14:paraId="38216A23" w14:textId="77777777" w:rsidTr="00325E54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FEDCF" w14:textId="74F19D40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62E3E3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D2C17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1049" w:rsidRPr="00987A84" w14:paraId="7F3719D6" w14:textId="77777777" w:rsidTr="00325E54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209B27D5" w14:textId="77777777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4</w:t>
            </w:r>
          </w:p>
          <w:p w14:paraId="393533C3" w14:textId="5AD04AE2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490FA3B8" w14:textId="5AE08C4B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Técnicas de abreviação procedimental com e sem a resolução do mérito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7808A88D" w14:textId="1EC1DB73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</w:t>
            </w: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2/04/202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431049" w:rsidRPr="00B43BAA" w14:paraId="590E98E6" w14:textId="77777777" w:rsidTr="00D63337">
        <w:tc>
          <w:tcPr>
            <w:tcW w:w="2127" w:type="dxa"/>
          </w:tcPr>
          <w:p w14:paraId="7FE7273E" w14:textId="54A01E33" w:rsidR="00431049" w:rsidRPr="00B43BAA" w:rsidRDefault="00431049" w:rsidP="0043104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04CF0F8C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MESQUITA. José Ignacio Botelho de. “O mandado de segurança. Contribuição para o seu estudo”.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Teses, Estudos e Pareceres de Processo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3. São Paulo: RT, 2007, pp. 74 e ss.</w:t>
            </w:r>
          </w:p>
          <w:p w14:paraId="16942323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__________. “Julgamento antecipado”.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Teses, Estudos e Pareceres de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3. São Paulo: RT, 2007, pp. 230 e ss.</w:t>
            </w:r>
          </w:p>
          <w:p w14:paraId="4C14AECF" w14:textId="0140E7F3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__________.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et alii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“Antecipação de tutela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versus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improcedência da ação”.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Carvalho, Milton Paulo (coord.).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Direito Processual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Quartier Latin, 2007, pp. 585 e ss.</w:t>
            </w:r>
          </w:p>
          <w:p w14:paraId="6BBD5263" w14:textId="67F115B4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ROQUE, Andre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et alii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Comentários ao CPC 2015: Processo de conhecimento e cumprimento de sentença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ª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ed. São Paulo: Gen, 2018, pp. 48-65 e 175-183 (comentários aos arts. 330, 331, 332 e 356).</w:t>
            </w:r>
          </w:p>
        </w:tc>
      </w:tr>
      <w:tr w:rsidR="00431049" w:rsidRPr="00B43BAA" w14:paraId="5E3D646A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200C8FFD" w14:textId="1DB35C34" w:rsidR="00431049" w:rsidRPr="00B43BAA" w:rsidRDefault="00431049" w:rsidP="0043104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5D94666" w14:textId="69BE0D44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BUENO, Cassio Scarpinella. “(Para) Sempre o Mandado de Segurança: Uma Homenagem ao Professor José Ignacio Botelho de Mesquita”.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TUCCI, José Rogério Cruz e; RODRIGUES, Walter Piva; AMADEO, Rodolfo da Costa Manso Real (orgs.).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Processo Civil: homenagem a José Ignacio Botelho de Mesquita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Quartier Latin, 2013, pp. 174 e ss.</w:t>
            </w:r>
          </w:p>
          <w:p w14:paraId="1B6E6D3B" w14:textId="053CB716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LACERDA, Galeno. “Mandados e Sentenças Liminares”.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Revista da Faculdade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Direito UFPR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14, nº 0, 1971, disponível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&lt;</w:t>
            </w:r>
            <w:hyperlink r:id="rId11" w:history="1">
              <w:r w:rsidRPr="00AA5A5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http://revistas.ufpr.br/direito/article/view/7191/5146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&gt;.</w:t>
            </w:r>
          </w:p>
          <w:p w14:paraId="24AB648E" w14:textId="4762D7A1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MESQUITA. José Ignacio Botelho de. “Aspectos processuais do mandado de segurança”.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Teses, Estudos e Pareceres de Processo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3. São Paulo: RT, 2007, pp. 39 e ss.</w:t>
            </w:r>
          </w:p>
        </w:tc>
      </w:tr>
      <w:tr w:rsidR="00431049" w:rsidRPr="00B43BAA" w14:paraId="0646CEAB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744225A0" w14:textId="04E4E9EC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331445C3" w14:textId="486DE1DC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O julgamento antecipado parcial do mérito: pontos positivos, negativos e conveniência de sua inserção no sistema processual brasileiro.</w:t>
            </w:r>
          </w:p>
          <w:p w14:paraId="2BC5263A" w14:textId="5F730694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94990DA" w14:textId="7893F6E1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31049" w:rsidRPr="00B43BAA" w14:paraId="0A1757AF" w14:textId="77777777" w:rsidTr="00325E54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336EF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F4D3D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2CB8B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31049" w:rsidRPr="00987A84" w14:paraId="54DD6CA9" w14:textId="77777777" w:rsidTr="00325E54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46A25BC6" w14:textId="77777777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5</w:t>
            </w:r>
          </w:p>
          <w:p w14:paraId="55E7C118" w14:textId="0E51F0EA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36E792C8" w14:textId="033C41A3" w:rsidR="00431049" w:rsidRPr="00987A84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Tutela provisória e tutela definitiva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6CF6D886" w14:textId="25846B89" w:rsidR="00431049" w:rsidRPr="00987A84" w:rsidRDefault="00782323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19</w:t>
            </w:r>
            <w:r w:rsidR="00431049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  <w:r w:rsidR="00431049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431049" w:rsidRPr="00B43BAA" w14:paraId="2B45D0BE" w14:textId="77777777" w:rsidTr="00F566BA">
        <w:tc>
          <w:tcPr>
            <w:tcW w:w="2127" w:type="dxa"/>
          </w:tcPr>
          <w:p w14:paraId="4D9E8375" w14:textId="0D209040" w:rsidR="00431049" w:rsidRPr="00B43BAA" w:rsidRDefault="00431049" w:rsidP="0043104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3781C949" w14:textId="4F323FD6" w:rsidR="00431049" w:rsidRPr="00B43BAA" w:rsidRDefault="00431049" w:rsidP="00431049">
            <w:pPr>
              <w:widowControl w:val="0"/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BONATO, Giovanni. “A estabilização da tutela antecipada de urgência no Código de Processo Civil brasileiro de 2015 (uma comparação entre Brasil, França e Itália)”.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 nov. 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pp. 191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-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253.</w:t>
            </w:r>
          </w:p>
          <w:p w14:paraId="2EEF3EB7" w14:textId="39C8AD5F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SILVA, Paulo Eduardo Alves da. “Redimensionando a tutela jurisdicional”.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AMADEO, Rodolfo da Costa Manso Real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et al.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Foco, 2020, pp. 597-612.</w:t>
            </w:r>
          </w:p>
        </w:tc>
      </w:tr>
      <w:tr w:rsidR="00431049" w:rsidRPr="00B43BAA" w14:paraId="73D6BE69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3065CFD5" w14:textId="354A9DA6" w:rsidR="00431049" w:rsidRPr="00B43BAA" w:rsidRDefault="00431049" w:rsidP="0043104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38FAC390" w14:textId="36B0AE47" w:rsidR="00431049" w:rsidRPr="00B43BAA" w:rsidRDefault="00431049" w:rsidP="00431049">
            <w:pPr>
              <w:widowControl w:val="0"/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BEDAQUE, José Roberto dos Santos.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Efetividade do processo e técnica processual.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ª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ed. São Paulo: Malheiros, 2007.</w:t>
            </w:r>
          </w:p>
          <w:p w14:paraId="072D3C17" w14:textId="3B0FE3B9" w:rsidR="00431049" w:rsidRPr="00B43BAA" w:rsidRDefault="00431049" w:rsidP="00431049">
            <w:pPr>
              <w:widowControl w:val="0"/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BOTELHO DE MESQUITA, José Ignácio. “Da ação civil”.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Teses, estudos e pareceres de processo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Vol. 1. São Paulo: RT, 2005.</w:t>
            </w:r>
          </w:p>
          <w:p w14:paraId="3856C52A" w14:textId="0583DF33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PROTO PISANI, Andrea. “Verso la residualità del processo a cognizione piena?”.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Il Foro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taliano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v. 131, fasc. </w:t>
            </w:r>
            <w:hyperlink r:id="rId12" w:history="1">
              <w:r w:rsidRPr="00B43BA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pt-BR"/>
                </w:rPr>
                <w:t>2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2006, pp. 53-59.</w:t>
            </w:r>
          </w:p>
        </w:tc>
      </w:tr>
      <w:tr w:rsidR="00431049" w:rsidRPr="00B43BAA" w14:paraId="0B86D3F6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1053C067" w14:textId="0A8EBE34" w:rsidR="00431049" w:rsidRPr="00B43BAA" w:rsidRDefault="00431049" w:rsidP="00431049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7EF2C8E" w14:textId="24A4DB99" w:rsidR="00431049" w:rsidRPr="00B43BAA" w:rsidRDefault="00431049" w:rsidP="00431049">
            <w:pPr>
              <w:widowControl w:val="0"/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Estrutura e função da estabilização da tutela antecipada de urgência.</w:t>
            </w:r>
          </w:p>
          <w:p w14:paraId="1D8D0214" w14:textId="441EE99F" w:rsidR="00431049" w:rsidRPr="00B43BAA" w:rsidRDefault="00431049" w:rsidP="00431049">
            <w:pPr>
              <w:widowControl w:val="0"/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0856F878" w14:textId="70F551D9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431049" w:rsidRPr="00B43BAA" w14:paraId="52C5C5DC" w14:textId="77777777" w:rsidTr="00F31F7F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E38F7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C4933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111D3" w14:textId="77777777" w:rsidR="00431049" w:rsidRPr="00B43BAA" w:rsidRDefault="00431049" w:rsidP="00431049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2A0103E6" w14:textId="25E305AD" w:rsidR="00F31F7F" w:rsidRDefault="00F31F7F"/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417"/>
      </w:tblGrid>
      <w:tr w:rsidR="00987A84" w:rsidRPr="00987A84" w14:paraId="2ABDDC2D" w14:textId="77777777" w:rsidTr="00325E54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5FFD20A0" w14:textId="429B44D5" w:rsidR="00073CEC" w:rsidRPr="00073CEC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6</w:t>
            </w:r>
          </w:p>
          <w:p w14:paraId="08446CA8" w14:textId="35E8EED3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44091371" w14:textId="636F0A3F" w:rsidR="00073CEC" w:rsidRPr="008E6598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Eficácia da sentença e autoridade da coisa julgada frente ao terceiro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2B3BA88C" w14:textId="1B211833" w:rsidR="005F639F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26</w:t>
            </w:r>
            <w:r w:rsidR="005F639F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4</w:t>
            </w:r>
            <w:r w:rsidR="005F639F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729B9E40" w14:textId="77777777" w:rsidTr="000F5F8A">
        <w:tc>
          <w:tcPr>
            <w:tcW w:w="2127" w:type="dxa"/>
          </w:tcPr>
          <w:p w14:paraId="50B4719B" w14:textId="339C9097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6DFAAC0A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BOTELHO DE MESQUITA, José Ignacio,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“Litisconsórcio unitário. Eficácia do reconhecimento do pedido por um só dos réus na ação de dissolução de sociedade”.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do Advogado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AASP, nº 40, São Paulo, jul. 1993, pp. 10-17.</w:t>
            </w:r>
          </w:p>
          <w:p w14:paraId="369A7A14" w14:textId="2678DD49" w:rsidR="001469FF" w:rsidRPr="00073CEC" w:rsidRDefault="007C734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D4FD8"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 coisa julgada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Rio de Janeiro: Forense, 2004, pp. 01-19.</w:t>
            </w:r>
          </w:p>
          <w:p w14:paraId="556E4E9C" w14:textId="15E61403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DELLORE, Luiz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et alii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Comentários ao CPC 2015: Processo de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conhecimento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e cumprimento de sentença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2</w:t>
            </w:r>
            <w:r w:rsidR="0020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ª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ed. São Paulo: Gen, 2018, pp.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612-625 e 636-645 (comentários art. 503 e 506).</w:t>
            </w:r>
          </w:p>
          <w:p w14:paraId="34C131AE" w14:textId="1BE08FAF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LIEBMAN, Enrico Tullio, “Pluralidade de partes legítimas à impugnação de um único ato”.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Eficácia e autoridade da sentença e outros escritos sobre a coisa julgada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trad. port. de Alfredo Buzaid e Benvindo Aires, com notas de Ada Pellegrini Grinover. 2ª ed. Rio de Janeiro, Forense, 1981, pp. 229-243.</w:t>
            </w:r>
          </w:p>
        </w:tc>
      </w:tr>
      <w:tr w:rsidR="00FD4FD8" w:rsidRPr="00B43BAA" w14:paraId="2CA0BA4E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5712E660" w14:textId="1863C873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513EFBD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ESTELLITA, Guilherme.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 cousa julgada: fundamento jurídico e extensão aos terceiros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Tese (Concurso de Professor Catedrático de Direito Judiciário Civil), Faculdade de Direito da Universidade do Rio de Janeiro, Rio de Janeiro, 1936.</w:t>
            </w:r>
          </w:p>
          <w:p w14:paraId="08E0E68D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GRINOVER, Ada Pellegrini. “Coisa julgada e terceiros”.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Direito civil e processo: estudos em homenagem ao professor Arruda Alvim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(obra coletiva), coord. Araken de Assis, Eduardo Arruda Alvim, Nelson Nery Jr., Rodrigo Mazzei, Teresa Arruda Alvim Wambier e Thereza Alvim. São Paulo: RT, 2007, pp. 637-641.</w:t>
            </w:r>
          </w:p>
          <w:p w14:paraId="36F96E3D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LOMBARDI, Mariana Capela.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Da coisa julgada civil: limites subjetivos e extensão a terceiros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Dissertação de mestrado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na Faculdade de Direito da Universidade de São Paulo, São Paulo, 2008, cap. VI (conclusões).</w:t>
            </w:r>
          </w:p>
          <w:p w14:paraId="1A06EAC9" w14:textId="6F30FB3F" w:rsidR="00FD4FD8" w:rsidRPr="00B43BAA" w:rsidRDefault="00FD4FD8" w:rsidP="00987A84">
            <w:pPr>
              <w:widowControl w:val="0"/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MONIZ DE ARAGÃO, Egas Dirceu.</w:t>
            </w:r>
            <w:r w:rsid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“Observações sobre os limites subjetivos da coisa julgada”.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dos Tribunais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625, nov. 1987, pp. 07-26.</w:t>
            </w:r>
          </w:p>
          <w:p w14:paraId="69B3AA7F" w14:textId="4D4576A9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TALAMINI, Eduardo. “Partes, terceiros e coisa julgada (os limites subjetivos da coisa julgada)”.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DIDIER JR., Fredie, WAMBIER, Teresa Arruda Alvim (coords).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Aspectos polêmicos e atuais sobre os terceiros no processo civil e assuntos afins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RT, 2004, pp. 193-247.</w:t>
            </w:r>
          </w:p>
        </w:tc>
      </w:tr>
      <w:tr w:rsidR="00FD4FD8" w:rsidRPr="00B43BAA" w14:paraId="54EE77C2" w14:textId="77777777" w:rsidTr="00F31F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8F4" w14:textId="470DA43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F05" w14:textId="263B451E" w:rsidR="00FD4FD8" w:rsidRPr="00B43BAA" w:rsidRDefault="00D833F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regra do artigo 506 do CPC é absoluta? Discorra sobre as principais exceções apontadas pela doutrina, situando-as nos planos da eficácia da sentença ou da autoridade da coisa julgada.</w:t>
            </w:r>
          </w:p>
          <w:p w14:paraId="328B92A8" w14:textId="450567F6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6B4F1BE8" w14:textId="06CB6C46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30C6A49C" w14:textId="77777777" w:rsidTr="00F31F7F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53DA5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AB98F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D7BE3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0A06518B" w14:textId="77777777" w:rsidTr="00F31F7F">
        <w:tc>
          <w:tcPr>
            <w:tcW w:w="2127" w:type="dxa"/>
            <w:tcBorders>
              <w:top w:val="nil"/>
            </w:tcBorders>
            <w:shd w:val="clear" w:color="auto" w:fill="8A0000"/>
          </w:tcPr>
          <w:p w14:paraId="1C8A6126" w14:textId="77777777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7</w:t>
            </w:r>
          </w:p>
          <w:p w14:paraId="4FA5B2F0" w14:textId="6684916A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8A0000"/>
          </w:tcPr>
          <w:p w14:paraId="22CE78DB" w14:textId="1CED96FF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Demasiados recursos? Qual sistema de meios de impugnação queremos?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A0000"/>
          </w:tcPr>
          <w:p w14:paraId="65FF30F7" w14:textId="68CB500C" w:rsidR="005F639F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03</w:t>
            </w:r>
            <w:r w:rsidR="005F639F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/05/202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633BF773" w14:textId="77777777" w:rsidTr="000B011F">
        <w:tc>
          <w:tcPr>
            <w:tcW w:w="2127" w:type="dxa"/>
          </w:tcPr>
          <w:p w14:paraId="2F7304DC" w14:textId="20674C17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25F6EE9D" w14:textId="4CD8C61A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ARAGÃO, Egas Dirceu Moniz de. “Demasiados Recursos?”.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 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Revista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Processo, </w:t>
            </w:r>
            <w:r w:rsidR="007C734F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</w:t>
            </w:r>
            <w:r w:rsid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136, jun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2006, pp. 09-31.</w:t>
            </w:r>
          </w:p>
          <w:p w14:paraId="6B096A32" w14:textId="138FB2BC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LEONEL, Ricardo de Barros. “Anotações Sobre o Sistema Recursal no Novo Código de Processo Civil”.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Vários Autores.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 Novo Código de Processo Civil: questões controvertidas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Atlas, 2015, pp. 343-385.</w:t>
            </w:r>
          </w:p>
        </w:tc>
      </w:tr>
      <w:tr w:rsidR="00FD4FD8" w:rsidRPr="00B43BAA" w14:paraId="4FF334E5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4A7383A3" w14:textId="35DECE7F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5119C247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BARBOSA MOREIRA, José Carlos. “Restrições ilegítimas ao conhecimento dos recursos”.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Temas de direito processual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9ª série. São Paulo: Saraiva, 2007, pp. 267-282.</w:t>
            </w:r>
          </w:p>
          <w:p w14:paraId="643EF0A9" w14:textId="3259A336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 xml:space="preserve">FERREIRA, William Santos. “Cabimento do Agravo de Instrumento e a ótica prospectiva da utilidade - o direito ao interesse na recorribilidade de decisões interlocutórias”.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In: </w:t>
            </w:r>
            <w:r w:rsidR="009669D5"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="0096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263, 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jan.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2017, pp. 193-203.</w:t>
            </w:r>
          </w:p>
          <w:p w14:paraId="5DA37F8D" w14:textId="7B93679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LEONEL, Ricardo de Barros. “Revisitando os Efeitos dos Recursos”,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In: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AMADEO, Rodolfo da Costa Manso </w:t>
            </w:r>
            <w:r w:rsidR="00933CA1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="00933CA1"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et 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.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Foco, 2020, pp. 705-726.</w:t>
            </w:r>
          </w:p>
          <w:p w14:paraId="64611D3C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LUCON, Paulo Henrique dos Santos. “Evolução da reclamação constitucional e seu emprego para assegurar a autoridade dos precedentes”.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In: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TUCCI, José Rogério Cruz e; RODRIGUES, Walter Piva; AMADEO, Rodolfo da Costa Manso Real (orgs.).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Processo civil: homenagem a José Ignacio Botelho de Mesquita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Quartier Latin, 2013, pp. 291-308.</w:t>
            </w:r>
          </w:p>
          <w:p w14:paraId="7CAB7EE7" w14:textId="41374D82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MESQUITA, José Ignacio Botelho de. “O mandado de segurança – contribuição para o seu estudo”.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Teses, estudos e pareceres de processo civil</w:t>
            </w:r>
            <w:r w:rsidR="00FA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Vol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3</w:t>
            </w:r>
            <w:r w:rsidR="00FA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São Paulo: RT, 2007, pp. 59-74.</w:t>
            </w:r>
          </w:p>
          <w:p w14:paraId="5A306AA3" w14:textId="3C33B578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ROMÃO, Paulo Freire. “Taxatividade do rol do artigo 1.015, do NCPC: Mandado de Segurança como sucedâneo do agravo de instrumento?”.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7C734F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259, </w:t>
            </w:r>
            <w:r w:rsid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set.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2016, pp. 259-273.</w:t>
            </w:r>
          </w:p>
          <w:p w14:paraId="790856B4" w14:textId="5C607DA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SALLES, Carlos Alberto de. “Mandado de segurança contra atos judiciais: as súmulas 267 e 268 do STJ revisitadas”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BUENO, Cassio Scarpinella; ALVIM, Eduardo Arruda; ALVIM, Teresa Arruda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Aspectos polêmicos e atuais do mandado de segurança: 51 anos depois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RT, 2002, pp. 121-151.</w:t>
            </w:r>
          </w:p>
        </w:tc>
      </w:tr>
      <w:tr w:rsidR="00FD4FD8" w:rsidRPr="00B43BAA" w14:paraId="54F0E0B6" w14:textId="77777777" w:rsidTr="00325E54">
        <w:tc>
          <w:tcPr>
            <w:tcW w:w="2127" w:type="dxa"/>
            <w:tcBorders>
              <w:bottom w:val="single" w:sz="4" w:space="0" w:color="auto"/>
            </w:tcBorders>
          </w:tcPr>
          <w:p w14:paraId="4041189F" w14:textId="3FA4A432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0905C89D" w14:textId="43F8C73C" w:rsidR="00FD4FD8" w:rsidRPr="00B43BAA" w:rsidRDefault="00D833F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 alterações promovidas no sistema recursal do CPC/2015 contribuíram para a maior efetividade do processo? Como se justifica a coexistência 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 recursos e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sucedâneos recursais como a reclamação e o mandado de segurança contra ato judicial?</w:t>
            </w:r>
          </w:p>
          <w:p w14:paraId="3DEDD7B9" w14:textId="687EE0D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532F3429" w14:textId="5ED690D3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67047A82" w14:textId="115D7F90" w:rsidR="00F31F7F" w:rsidRPr="00782323" w:rsidRDefault="00F31F7F" w:rsidP="0078232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417"/>
      </w:tblGrid>
      <w:tr w:rsidR="00B43BAA" w:rsidRPr="00B43BAA" w14:paraId="06C05739" w14:textId="77777777" w:rsidTr="00F31F7F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97B76" w14:textId="08A96E98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23370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C13CD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1E67C01F" w14:textId="77777777" w:rsidTr="00F31F7F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7A346524" w14:textId="77777777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8</w:t>
            </w:r>
          </w:p>
          <w:p w14:paraId="1BDEDE95" w14:textId="279A2051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500DA86F" w14:textId="281CA995" w:rsidR="005F639F" w:rsidRPr="00987A84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 eterna busca da efetividade da tutela executiva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37038DE8" w14:textId="46CF8D3E" w:rsidR="005F639F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10</w:t>
            </w:r>
            <w:r w:rsidR="005F639F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/05/202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232621BA" w14:textId="77777777" w:rsidTr="00F31F7F">
        <w:tc>
          <w:tcPr>
            <w:tcW w:w="2127" w:type="dxa"/>
          </w:tcPr>
          <w:p w14:paraId="0D4219A4" w14:textId="5C30B19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271D7AB0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BARBOSA MOREIRA, José Carlos. “Notas sobre o Problema da ‘Efetividade’ do Processo”.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Temas de Direito Processual: Terceira Série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Saraiva, 1984, pp. 27-42.</w:t>
            </w:r>
          </w:p>
          <w:p w14:paraId="30F8693C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DELLORE, Luiz. “Atipicidade das medidas executivas já é realidade, Gen Jurídico”, disponível em  &lt;</w:t>
            </w:r>
            <w:hyperlink r:id="rId13" w:history="1">
              <w:r w:rsidRPr="00B43B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pt-BR"/>
                </w:rPr>
                <w:t>http://genjuridico.com.br/2017/04/17/ncpc-atipicidade-medidas-executivas/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</w:p>
          <w:p w14:paraId="44E9FE96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LEONEL, Ricardo de Barros. “Pauta para o aperfeiçoamento do processo coletivo”.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MILARÉ, Edis (coord.).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Ação civil pública após 35 anos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São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Paulo: RT, 2020.</w:t>
            </w:r>
          </w:p>
          <w:p w14:paraId="5FD88786" w14:textId="0E690A8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MARINONI, Luiz Guilherme. “O direito à efetividade da tutela jurisdicional na perspectiva da teoria dos direitos fundamentais”.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Direito Processual Civil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Curitiba: Gênesis, 2003, pp. 303 e ss.</w:t>
            </w:r>
          </w:p>
          <w:p w14:paraId="5C4D78F4" w14:textId="38860CBA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WAMBIER, Teresa Arruda Alvim. “A uniformidade e a estabilidade da jurisprudência e o estado de direito - Civil Law e Common Law”.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Jurídica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v. 57, nº 384, 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out. 2009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pp. 53-62.</w:t>
            </w:r>
          </w:p>
        </w:tc>
      </w:tr>
      <w:tr w:rsidR="00FD4FD8" w:rsidRPr="00B43BAA" w14:paraId="7E3AA2FC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08E8A46E" w14:textId="5318BBAD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43B9D987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BARBOSA MOREIRA, José Carlos. “Efetividade do Processo e Técnica Processual”.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 Temas de Direito Processual: Sexta Série, São Paulo: Saraiva, 1997, pp. 17-29</w:t>
            </w:r>
          </w:p>
          <w:p w14:paraId="4BDAE8E8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BARROSO, Luis Roberto.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O direito constitucional e a efetividade de suas normas: limites e possibilidades da Constituição Brasileira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Rio de Janeiro: Renovar, 1996.</w:t>
            </w:r>
          </w:p>
          <w:p w14:paraId="2825F675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CRUZ E TUCCI, José Rogério.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Tempo e processo: uma análise empírica das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repercussões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 do tempo na fenomenologia processual: civil e penal.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Paulo: RT, 1997.</w:t>
            </w:r>
          </w:p>
          <w:p w14:paraId="536CA8BD" w14:textId="7777777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GUERRA, Marcelo Lima.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Direitos fundamentais e a proteção do credor na execução civil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RT, 2003.</w:t>
            </w:r>
          </w:p>
          <w:p w14:paraId="0A924A62" w14:textId="49DA05F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PUOLI, José Carlos Baptista. “Poderes de efetivação e a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inconstitucionalidade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da parte final do inciso IV do art. 139 do CPC de 2015”.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AMADEO, Rodolfo da Costa Manso </w:t>
            </w:r>
            <w:r w:rsidR="00933CA1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="00933CA1"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et 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.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Indaiatuba: Foco, 2019, pp. 361-377.</w:t>
            </w:r>
          </w:p>
          <w:p w14:paraId="668B048E" w14:textId="4C97BD4F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ZVEIBIL, Daniel Guimarães.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 xml:space="preserve">O mandado de segurança no sistema processual brasileiro: contribuição para revitalização de sua “eficácia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potenciada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”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Tese de doutoramento na Faculdade de Direito da Universidade de São Paulo. São Paulo: [s.n.], 2017.</w:t>
            </w:r>
          </w:p>
        </w:tc>
      </w:tr>
    </w:tbl>
    <w:p w14:paraId="067CA5AE" w14:textId="4AF37640" w:rsidR="00F31F7F" w:rsidRPr="00782323" w:rsidRDefault="00F31F7F" w:rsidP="00782323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417"/>
      </w:tblGrid>
      <w:tr w:rsidR="00FD4FD8" w:rsidRPr="00B43BAA" w14:paraId="7A65D75D" w14:textId="77777777" w:rsidTr="001469FF">
        <w:tc>
          <w:tcPr>
            <w:tcW w:w="2127" w:type="dxa"/>
            <w:tcBorders>
              <w:bottom w:val="single" w:sz="4" w:space="0" w:color="auto"/>
            </w:tcBorders>
          </w:tcPr>
          <w:p w14:paraId="2A8B90DD" w14:textId="3F38F0DA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A4387DE" w14:textId="7C706AD5" w:rsidR="00FD4FD8" w:rsidRPr="00B43BAA" w:rsidRDefault="00D833F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Quais os caminhos para uma eficácia processual desejada? Quais os desafios para a eficácia da tutela executiva? Quais foram os avanços e os retrocessos entre o CPC 1973  e o CPC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2015 para a implementação da tutela executiva?</w:t>
            </w:r>
          </w:p>
          <w:p w14:paraId="3BC0304E" w14:textId="23EF1F8D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BDDE34D" w14:textId="0E81C855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199EEF8A" w14:textId="77777777" w:rsidTr="001469FF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F52F" w14:textId="790C6544" w:rsidR="001469FF" w:rsidRPr="00B43BAA" w:rsidRDefault="001469F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1E338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9856" w14:textId="77777777" w:rsidR="005F639F" w:rsidRPr="00B43BAA" w:rsidRDefault="005F639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3A57A20A" w14:textId="77777777" w:rsidTr="001469FF">
        <w:tc>
          <w:tcPr>
            <w:tcW w:w="2127" w:type="dxa"/>
            <w:tcBorders>
              <w:top w:val="nil"/>
            </w:tcBorders>
            <w:shd w:val="clear" w:color="auto" w:fill="8A0000"/>
          </w:tcPr>
          <w:p w14:paraId="30823417" w14:textId="77777777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9</w:t>
            </w:r>
          </w:p>
          <w:p w14:paraId="015841E0" w14:textId="1ED9941C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8A0000"/>
          </w:tcPr>
          <w:p w14:paraId="31E3DF74" w14:textId="5B76FBE6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Instrumentos processuais de julgamento de casos repetitivos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A0000"/>
          </w:tcPr>
          <w:p w14:paraId="0E003E03" w14:textId="3C3D1600" w:rsidR="00B43BAA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17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</w:t>
            </w:r>
            <w:r w:rsidR="00055D9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 w:rsidR="008E659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208D1FDD" w14:textId="77777777" w:rsidTr="00F31F7F">
        <w:tc>
          <w:tcPr>
            <w:tcW w:w="2127" w:type="dxa"/>
          </w:tcPr>
          <w:p w14:paraId="4EF02A84" w14:textId="4546FCF7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32545968" w14:textId="68410D0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ASPERTI, Maria Cecília de Araújo. “O silêncio dos ‘litigantes-sombra’ e a vitória da eficiência sobre o contraditório no julgamento de casos repetitivos”. </w:t>
            </w:r>
            <w:r w:rsidRPr="003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AMADEO, Rodolfo da Costa Manso Real et al.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Indaiatuba: Foco, 2019, </w:t>
            </w:r>
            <w:r w:rsidR="0020471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p. 555-570.</w:t>
            </w:r>
          </w:p>
          <w:p w14:paraId="616FFED0" w14:textId="77777777" w:rsidR="00FD4FD8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MONARI, Daniel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 alii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“Os precedentes vinculantes na ótica das decisões do Desembargador Walter Piva Rodrigues: um contributo para a análise dos reexames determinados a partir de julgamento de recursos especiais repetitivos, representativos de controvérsia no Superior Tribunal de Justiça”. </w:t>
            </w:r>
            <w:r w:rsidRPr="003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AMADEO, Rodolfo da Costa Manso </w:t>
            </w:r>
            <w:r w:rsidR="00933CA1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="00933CA1"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et 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. (coords.).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Indaiatuba: Foco, 2019, pp. 11-128.</w:t>
            </w:r>
          </w:p>
          <w:p w14:paraId="70D46E01" w14:textId="3940270F" w:rsidR="007C734F" w:rsidRPr="00B43BAA" w:rsidRDefault="007C734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YARSHELL, Flávio Luiz. “Jurisprudência uniforme, íntegra e coerente: obstáculos superáveis?”. </w:t>
            </w:r>
            <w:r w:rsidRPr="003500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BEDAQUE, José Roberto dos Santos et al. (Coord.).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Estudos de Direito Processual Civil em homenagem a José Rogério Cruz e Tucci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Salvador: Juspodivm, 2018,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p. 287-307.</w:t>
            </w:r>
          </w:p>
        </w:tc>
      </w:tr>
      <w:tr w:rsidR="00FD4FD8" w:rsidRPr="00B43BAA" w14:paraId="13984C85" w14:textId="77777777" w:rsidTr="001469FF">
        <w:tc>
          <w:tcPr>
            <w:tcW w:w="2127" w:type="dxa"/>
            <w:tcBorders>
              <w:bottom w:val="single" w:sz="4" w:space="0" w:color="auto"/>
            </w:tcBorders>
          </w:tcPr>
          <w:p w14:paraId="610C32BB" w14:textId="4F636526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477FA51A" w14:textId="6CD56F27" w:rsidR="00FD4FD8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5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BAETGE, Dietmar.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Germany. Class actions, Group litigation and other forms of Collective Litigation</w:t>
            </w:r>
            <w:r w:rsidR="000271B1" w:rsidRPr="00575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, v</w:t>
            </w:r>
            <w:r w:rsidRPr="00575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. 15, 2014. 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Disponível em </w:t>
            </w:r>
            <w:r w:rsidR="00073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&lt;</w:t>
            </w:r>
            <w:hyperlink r:id="rId14" w:history="1">
              <w:r w:rsidR="00073BB1" w:rsidRPr="00073B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http://globalclassactions.stanford.edu/sites/default/files/documents/Germany_National_Report.pdf</w:t>
              </w:r>
            </w:hyperlink>
            <w:r w:rsidR="00073B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&gt;.</w:t>
            </w:r>
          </w:p>
          <w:p w14:paraId="06EDA5E0" w14:textId="77777777" w:rsidR="00FD4FD8" w:rsidRPr="00575D27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75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HALFMEIER, Axel and FEESS, Eberhard.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pt-BR"/>
              </w:rPr>
              <w:t>The German Capital Markets Model Case Act (KapMuG) - A European Role Model For Increasing the Efficiency of Capital Markets? Analysis and Suggestions for Reform (January 30, 2012)</w:t>
            </w:r>
            <w:r w:rsidRPr="00575D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. Available at SSRN: https://ssrn.com/abstract=1684528 or http://dx.doi.org/10.2139/ssrn.1684528.</w:t>
            </w:r>
          </w:p>
          <w:p w14:paraId="6601242A" w14:textId="5D974070" w:rsidR="00FD4FD8" w:rsidRPr="009669D5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MESQUITA, José Ignacio Botelho de.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et alii</w:t>
            </w: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“A repercussão geral e os recursos repetitivos. Economia, Direito e Política”. </w:t>
            </w:r>
            <w:r w:rsidRPr="00966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</w:t>
            </w: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 w:rsidR="009669D5" w:rsidRPr="009669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="009669D5" w:rsidRPr="00966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220, jun/2013, pp. 13 e ss.</w:t>
            </w:r>
          </w:p>
          <w:p w14:paraId="57FB76E1" w14:textId="531CB380" w:rsidR="008A585F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__________. “A súmula da jurisprudência dominante no Supremo Tribunal Federal”. </w:t>
            </w:r>
            <w:r w:rsidRPr="00966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</w:t>
            </w: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 w:rsidRPr="00966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Teses, Estudos e Pareceres de Processo Civil</w:t>
            </w:r>
            <w:r w:rsidRPr="009669D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Vol. 2. São Paulo: RT, 2005, pp. 216 e ss.</w:t>
            </w:r>
          </w:p>
          <w:p w14:paraId="0E27453F" w14:textId="5FF5709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__________. “Da uniformização da jurisprudência – uma contribuição para seu estudo”. </w:t>
            </w:r>
            <w:r w:rsidRPr="009669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Teses, Estudos e Pareceres de Processo Civil</w:t>
            </w:r>
            <w:r w:rsidRPr="00B43B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Vol. 2. São Paulo: RT, 2005, pp. 227 e ss.</w:t>
            </w:r>
          </w:p>
        </w:tc>
      </w:tr>
      <w:tr w:rsidR="00FD4FD8" w:rsidRPr="00B43BAA" w14:paraId="6F543FA4" w14:textId="77777777" w:rsidTr="001469FF">
        <w:tc>
          <w:tcPr>
            <w:tcW w:w="2127" w:type="dxa"/>
            <w:tcBorders>
              <w:bottom w:val="single" w:sz="4" w:space="0" w:color="auto"/>
            </w:tcBorders>
          </w:tcPr>
          <w:p w14:paraId="54BC3A7F" w14:textId="332C3F58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729B32FB" w14:textId="458EC210" w:rsidR="00FD4FD8" w:rsidRPr="00B43BAA" w:rsidRDefault="00D833FB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Discorrer sobre a tensão entre acesso à Justiça e devido processo legal, de um lado, e a busca por eficiência por meio dos instrumentos processuais de julgamento de casos repetitivos.</w:t>
            </w:r>
          </w:p>
          <w:p w14:paraId="46FFBB66" w14:textId="21218AE1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749ABD12" w14:textId="4E795E4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="00073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5DF1AC82" w14:textId="77777777" w:rsidTr="001469FF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F7F0F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0A44D5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F65D0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507E9D14" w14:textId="77777777" w:rsidTr="001469FF">
        <w:tc>
          <w:tcPr>
            <w:tcW w:w="2127" w:type="dxa"/>
            <w:tcBorders>
              <w:top w:val="nil"/>
            </w:tcBorders>
            <w:shd w:val="clear" w:color="auto" w:fill="8A0000"/>
          </w:tcPr>
          <w:p w14:paraId="7E7108B6" w14:textId="77777777" w:rsidR="00B43BAA" w:rsidRPr="00987A84" w:rsidRDefault="00B43BAA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10</w:t>
            </w:r>
          </w:p>
          <w:p w14:paraId="1B73F02A" w14:textId="06102734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8A0000"/>
          </w:tcPr>
          <w:p w14:paraId="49D1352D" w14:textId="23672151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Passado, presente e possível futuro do processo coletivo - </w:t>
            </w:r>
            <w:r w:rsidRPr="00055D9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Entrega dos Trabalhos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A0000"/>
          </w:tcPr>
          <w:p w14:paraId="4675DE77" w14:textId="3ACA95EA" w:rsidR="00B43BAA" w:rsidRPr="00987A84" w:rsidRDefault="00782323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24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5/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  <w:p w14:paraId="79F1E8D8" w14:textId="32E4645B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 </w:t>
            </w:r>
          </w:p>
        </w:tc>
      </w:tr>
      <w:tr w:rsidR="00FD4FD8" w:rsidRPr="00B43BAA" w14:paraId="4B2A3617" w14:textId="77777777" w:rsidTr="00F31F7F">
        <w:tc>
          <w:tcPr>
            <w:tcW w:w="2127" w:type="dxa"/>
          </w:tcPr>
          <w:p w14:paraId="245CF6C9" w14:textId="7F79423A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115B36F0" w14:textId="77D7496B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ARENHART, Sérgio Cruz. “Decisões estruturais no direito processual civil brasileiro”.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0271B1"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="00027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7C734F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</w:t>
            </w:r>
            <w:r w:rsid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7C734F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nov. 2013</w:t>
            </w:r>
            <w:r w:rsid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20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p. 389-410.</w:t>
            </w:r>
          </w:p>
          <w:p w14:paraId="735753E6" w14:textId="60BD8B7A" w:rsidR="00FD4FD8" w:rsidRPr="00B43BAA" w:rsidRDefault="007C734F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Lei nº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4.778/2020 -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</w:t>
            </w:r>
            <w:r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Dispõe sobre a nova Lei de Ação Civil Pública e dá outras providências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” -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Dep. Marcos Pereira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disponível em </w:t>
            </w:r>
            <w:r w:rsidR="0007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&lt;</w:t>
            </w:r>
            <w:hyperlink r:id="rId15" w:history="1">
              <w:r w:rsidR="00073BB1" w:rsidRPr="00073B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https://www.camara.leg.br/proposicoesWeb/prop_mostrarintegra?codteor=1933591</w:t>
              </w:r>
            </w:hyperlink>
            <w:r w:rsidR="0007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&gt;.</w:t>
            </w:r>
          </w:p>
          <w:p w14:paraId="12BF2CE6" w14:textId="4EFB7326" w:rsidR="00FD4FD8" w:rsidRPr="00B43BAA" w:rsidRDefault="007C734F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Projeto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Lei nº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4.441/2020 -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“</w:t>
            </w:r>
            <w:r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Disciplina o procedimento da Nova Lei de Ação Civil Pública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” -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Dep. Paulo Teixeira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disponível em </w:t>
            </w:r>
            <w:r w:rsidR="0007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&lt;</w:t>
            </w:r>
            <w:hyperlink r:id="rId16" w:history="1">
              <w:r w:rsidRPr="00073BB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https://www.camara.leg.br/proposicoesWeb/prop_mostrarintegra?codteor=1927512</w:t>
              </w:r>
            </w:hyperlink>
            <w:r w:rsidR="0007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FD4FD8" w:rsidRPr="00431049" w14:paraId="4CBB7D66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2D69F596" w14:textId="69EEAEDE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68EF6AD9" w14:textId="68288A46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BARBOSA MOREIRA, José Carlos. “Tutela jurisdicional dos interesses coletivos ou difusos”.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7C734F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39, jul./set.</w:t>
            </w:r>
            <w:r w:rsid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1985.</w:t>
            </w:r>
          </w:p>
          <w:p w14:paraId="43E2F32E" w14:textId="73EDCC1C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CABRAL, Antonio do Passo. “O novo procedimento-modelo (Müsterverfahren) alemão: uma alternativa às ações coletivas”.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="00027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  <w:r w:rsidR="00027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mai. 2007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pp. 123-146.</w:t>
            </w:r>
          </w:p>
          <w:p w14:paraId="5F013783" w14:textId="6FBECECB" w:rsidR="00FD4FD8" w:rsidRPr="00575D27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517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RESNIK, Judith. </w:t>
            </w: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“From ‘cases’ to ‘litigation’”.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In</w:t>
            </w: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: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Law and contemporary problems</w:t>
            </w: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, v. 54, nº 3, </w:t>
            </w:r>
            <w:r w:rsidR="00AA5A5A"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summer 1991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, </w:t>
            </w: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pp </w:t>
            </w:r>
            <w:r w:rsidR="00E423DC"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0</w:t>
            </w: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>5-68.</w:t>
            </w:r>
          </w:p>
        </w:tc>
      </w:tr>
      <w:tr w:rsidR="00FD4FD8" w:rsidRPr="00B43BAA" w14:paraId="6F347DD1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4FC67F9B" w14:textId="04B767F9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3C9F95FA" w14:textId="70CAAAD3" w:rsidR="00FD4FD8" w:rsidRPr="00B43BAA" w:rsidRDefault="00D833FB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Processo civil estrutural: conceito, viabilidade no ordenamento brasileiro, riscos e possibilidades.</w:t>
            </w:r>
          </w:p>
          <w:p w14:paraId="51496572" w14:textId="587A87F6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41BF9E9B" w14:textId="1BE91941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2220F4B2" w14:textId="77777777" w:rsidTr="00F31F7F"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BAF24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AC76D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18827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5B2E62B8" w14:textId="77777777" w:rsidTr="00F31F7F">
        <w:tc>
          <w:tcPr>
            <w:tcW w:w="2127" w:type="dxa"/>
            <w:tcBorders>
              <w:top w:val="nil"/>
            </w:tcBorders>
            <w:shd w:val="clear" w:color="auto" w:fill="8A0000"/>
          </w:tcPr>
          <w:p w14:paraId="79632E46" w14:textId="77777777" w:rsidR="00B43BAA" w:rsidRPr="00987A84" w:rsidRDefault="00B43BAA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11</w:t>
            </w:r>
          </w:p>
          <w:p w14:paraId="655810CD" w14:textId="23C37195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8A0000"/>
          </w:tcPr>
          <w:p w14:paraId="7E8974E4" w14:textId="593BF357" w:rsidR="00EE53B6" w:rsidRPr="00782323" w:rsidRDefault="00B43BAA" w:rsidP="003408C3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Gerenciamento do processo e ferramentas tecnológicas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A0000"/>
          </w:tcPr>
          <w:p w14:paraId="7A5648A9" w14:textId="212623FA" w:rsidR="00B43BAA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31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5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4756C761" w14:textId="77777777" w:rsidTr="00F31F7F">
        <w:tc>
          <w:tcPr>
            <w:tcW w:w="2127" w:type="dxa"/>
          </w:tcPr>
          <w:p w14:paraId="1D8E1944" w14:textId="58BB9AE8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</w:tcPr>
          <w:p w14:paraId="404CA83A" w14:textId="77777777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ONODERA, Marcus Vinicius Kiyoshi.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Gerenciamento do processo e o acesso à justiça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Belo Horizonte: Del Rey, 2017, pp. 145-165.  </w:t>
            </w:r>
          </w:p>
          <w:p w14:paraId="210E942A" w14:textId="705015DC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SILVA, Paulo Eduardo Alves da.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Gerenciamento de processos judiciais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São Paulo: Saraiva, 2010, pp. 35-87.</w:t>
            </w:r>
          </w:p>
        </w:tc>
      </w:tr>
      <w:tr w:rsidR="00FD4FD8" w:rsidRPr="00B43BAA" w14:paraId="36F71710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672BAFF3" w14:textId="3032A759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D5E47CE" w14:textId="783796EB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BARBOSA MOREIRA, José Carlos. “O problema da ‘divisão do trabalho’ entre juiz e partes: aspectos terminológicos”.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="00027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41, 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ago. 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1986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pp. 07-14.</w:t>
            </w:r>
          </w:p>
          <w:p w14:paraId="14F566AE" w14:textId="12013647" w:rsidR="00FD4FD8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CAPONI, Remo. “Il principio di proporcionalità nella giustizia civile: prime note sistematiche”.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Rivista trimestrale di diritto e procedura civile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LXV, </w:t>
            </w:r>
            <w:r w:rsidR="00E423DC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2, </w:t>
            </w:r>
            <w:r w:rsidR="0020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p. 389-406, giu. 2011.</w:t>
            </w:r>
          </w:p>
          <w:p w14:paraId="207155D9" w14:textId="0885DB51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PECKHAM, Robert. “The federal judge as a case manager: the new role in guiding a case from filing to disposition”.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California Law Review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v. 69, </w:t>
            </w:r>
            <w:r w:rsidR="0027060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 pp. 770-805, may 1981.</w:t>
            </w:r>
          </w:p>
        </w:tc>
      </w:tr>
      <w:tr w:rsidR="00FD4FD8" w:rsidRPr="00B43BAA" w14:paraId="5DC58446" w14:textId="77777777" w:rsidTr="00F31F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140" w14:textId="224ADED8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9672" w14:textId="1B7BE5B5" w:rsidR="00FD4FD8" w:rsidRPr="00B43BAA" w:rsidRDefault="00D833FB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Gerenciamento do processo e garantias processuais dos litigantes.</w:t>
            </w:r>
          </w:p>
          <w:p w14:paraId="3A2F4B63" w14:textId="75B45F93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1F20C10" w14:textId="4B0764D7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0CA4F7C9" w14:textId="77777777" w:rsidTr="00F31F7F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04FB0" w14:textId="3E3A7158" w:rsidR="00D833FB" w:rsidRPr="00B43BAA" w:rsidRDefault="00D833FB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E001B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6FEAD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0FE3C270" w14:textId="77777777" w:rsidTr="00F31F7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</w:tcPr>
          <w:p w14:paraId="78F6974F" w14:textId="77777777" w:rsidR="00B43BAA" w:rsidRPr="00987A84" w:rsidRDefault="00B43BAA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12</w:t>
            </w:r>
          </w:p>
          <w:p w14:paraId="2FC291B1" w14:textId="2BB49D68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</w:tcPr>
          <w:p w14:paraId="565C0B91" w14:textId="5427900B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Custas processuais, honorários advocatícios, justiça gratuita e financiamento de terceiros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0000"/>
          </w:tcPr>
          <w:p w14:paraId="24349278" w14:textId="60A63452" w:rsidR="00B43BAA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07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/06/202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17076ADE" w14:textId="77777777" w:rsidTr="00F31F7F">
        <w:tc>
          <w:tcPr>
            <w:tcW w:w="2127" w:type="dxa"/>
            <w:tcBorders>
              <w:top w:val="single" w:sz="4" w:space="0" w:color="auto"/>
            </w:tcBorders>
          </w:tcPr>
          <w:p w14:paraId="0394AD92" w14:textId="4493C828" w:rsidR="00FD4FD8" w:rsidRPr="00B43BAA" w:rsidRDefault="00FD4FD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prévia obrigatória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</w:tcPr>
          <w:p w14:paraId="6106F6EC" w14:textId="577ABDD8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DELLORE, Luiz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et alii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Comentários ao CPC 2015: Parte geral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3</w:t>
            </w:r>
            <w:r w:rsidR="0020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ª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ed. São Paulo: Gen, 2019, pp. 292-323 e 339-359 (comentários art. 82 e </w:t>
            </w:r>
            <w:proofErr w:type="spellStart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ss</w:t>
            </w:r>
            <w:proofErr w:type="spellEnd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98 e ss.).</w:t>
            </w:r>
          </w:p>
          <w:p w14:paraId="633BA4DB" w14:textId="77777777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MACHADO, Marcelo Pacheco. “Como ter um processo sem honorários sucumbenciais?”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Migalhas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18 de janeiro de 2021, disponível em  &lt;</w:t>
            </w:r>
            <w:hyperlink r:id="rId17" w:history="1">
              <w:r w:rsidRPr="00B43B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pt-BR"/>
                </w:rPr>
                <w:t>https://migalhas.uol.com.br/coluna/tendencias-do-processo-civil/339030/como-ter-um-processo-sem-honorarios-sucumbenciais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</w:p>
          <w:p w14:paraId="02305FB2" w14:textId="25EF1397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RODRIGUES, Walter Piva. “Honorários advocatícios em mandado de segurança”.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Repertório de jurisprudência IOB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1.ª quinzena de outubro de 1993, </w:t>
            </w:r>
            <w:r w:rsidR="0027060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19/93, pp. 373-375.</w:t>
            </w:r>
          </w:p>
          <w:p w14:paraId="409E614C" w14:textId="293346FD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TEMER, Sofia. “Financiamento de litígios por terceiros (ou </w:t>
            </w:r>
            <w:proofErr w:type="spellStart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third-party</w:t>
            </w:r>
            <w:proofErr w:type="spellEnd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funding</w:t>
            </w:r>
            <w:proofErr w:type="spellEnd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): o financiador é um sujeito processual? Notas sobre a participação não aparente”.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vol. 309, pp. 359-384, Nov/2020.</w:t>
            </w:r>
          </w:p>
        </w:tc>
      </w:tr>
      <w:tr w:rsidR="00FD4FD8" w:rsidRPr="00B43BAA" w14:paraId="5CE48ED5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129B7A5A" w14:textId="74727E45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11FD10CF" w14:textId="5188BCF4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BOVO, Paula Ferreira. “Financiamento de litígios judiciais por terceiros (</w:t>
            </w:r>
            <w:proofErr w:type="spellStart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third-party</w:t>
            </w:r>
            <w:proofErr w:type="spellEnd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funding</w:t>
            </w:r>
            <w:proofErr w:type="spellEnd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): uma ótica processual”.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AA5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Eletrônica de Direito Processual - REDP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Rio de Janeiro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a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 14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v.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21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mai</w:t>
            </w:r>
            <w:proofErr w:type="spellEnd"/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/ago.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2020, pp. 342-366.</w:t>
            </w:r>
          </w:p>
          <w:p w14:paraId="347A9257" w14:textId="0FFFED58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GIDI, Antonio et alii. </w:t>
            </w:r>
            <w:r w:rsidRPr="00575D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 xml:space="preserve">Schlesinger´s </w:t>
            </w:r>
            <w:r w:rsidRPr="00AA5A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pt-BR"/>
              </w:rPr>
              <w:t>Comparative Law. Cases-Text-Materials</w:t>
            </w:r>
            <w:r w:rsidRP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t-BR"/>
              </w:rPr>
              <w:t xml:space="preserve">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r w:rsidRPr="0020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th </w:t>
            </w:r>
            <w:proofErr w:type="spellStart"/>
            <w:r w:rsidR="00204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dition</w:t>
            </w:r>
            <w:proofErr w:type="spellEnd"/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New York: Foundation Press, 2009, pp. 684-695.</w:t>
            </w:r>
          </w:p>
          <w:p w14:paraId="5D4CF5D6" w14:textId="27AFC068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MOLLICA, Rogério. “A fixação de honorários advocatícios em face das decisões parciais de mérito”.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Migalhas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[coluna CPC na prática], 29 de novembro de 2018, disponível em &lt;</w:t>
            </w:r>
            <w:hyperlink r:id="rId18" w:history="1">
              <w:r w:rsidRPr="00B43BA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eastAsia="pt-BR"/>
                </w:rPr>
                <w:t>https://www.migalhas.com.br/coluna/cpc-na-pratica/292018/a-fixacao-de-honorarios-advocaticios-em-face-das-decisoes-parciais-de-merito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&gt;</w:t>
            </w:r>
            <w:r w:rsidR="00073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14:paraId="6C7FF199" w14:textId="13F90903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RODRIGUES, Walter Piva e MARCACINI, Augusto Tavares Rosa. “Proposta de alteração da Lei de Assistência Judiciária”.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do Advogado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nº 59, 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São Paulo: AASP, 2000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pp. 15.</w:t>
            </w:r>
          </w:p>
          <w:p w14:paraId="43C44DAC" w14:textId="4E48F4AA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TARTUCE, Fernanda e DELLORE, Luiz. “Gratuidade de Justiça no novo CPC”.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Revista de Processo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AA5A5A" w:rsidRPr="007C7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São Paulo: Revista dos Tribunais, v.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236, 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ut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  <w:r w:rsidR="00AA5A5A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201</w:t>
            </w:r>
            <w:r w:rsidR="00AA5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pp. 305-322.</w:t>
            </w:r>
          </w:p>
        </w:tc>
      </w:tr>
      <w:tr w:rsidR="00FD4FD8" w:rsidRPr="00B43BAA" w14:paraId="6C9018CC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474868EE" w14:textId="676311CD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20F1F429" w14:textId="4D7E4BD5" w:rsidR="00FD4FD8" w:rsidRPr="00B43BAA" w:rsidRDefault="00D833FB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Honorários advocatícios e justiça gratuita: principais polêmicas ainda não pacificadas e proposta de solução.</w:t>
            </w:r>
          </w:p>
          <w:p w14:paraId="7D30989D" w14:textId="5F6E7613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341A35D6" w14:textId="2991F4F0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1FCA41A8" w14:textId="77777777" w:rsidTr="00F31F7F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443F1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F5BE0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48CCB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0DD1764C" w14:textId="77777777" w:rsidTr="00F31F7F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2C744E54" w14:textId="77777777" w:rsidR="00B43BAA" w:rsidRPr="00987A84" w:rsidRDefault="00B43BAA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13</w:t>
            </w:r>
          </w:p>
          <w:p w14:paraId="2D4591E4" w14:textId="7BBD55D0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60FA92B8" w14:textId="31273F80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 abuso dos sujeitos processuais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07DB9435" w14:textId="5777DB62" w:rsidR="00B43BAA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12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/06/202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FD4FD8" w:rsidRPr="00B43BAA" w14:paraId="56065227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37B3E833" w14:textId="74BD9B94" w:rsidR="00FD4FD8" w:rsidRPr="00B43BAA" w:rsidRDefault="00D06698" w:rsidP="00D0669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Leitura prévia obrigatória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0E873722" w14:textId="488BD0A6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BUENO, Júlio César. O contempt of court e sua perspectiva histórica na common law.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AMADEO, Rodolfo da Costa Manso </w:t>
            </w:r>
            <w:r w:rsidR="00933CA1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="00933CA1"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et al</w:t>
            </w:r>
            <w:r w:rsidR="00933CA1"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(coords.).</w:t>
            </w:r>
            <w:r w:rsidR="00933CA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Direito Processual Civil contemporâneo: estudos em homenagem ao professor Walter Piva Rodrigues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Indaiatuba: Foco, 2019, pp. 427-452.</w:t>
            </w:r>
          </w:p>
          <w:p w14:paraId="745AD12A" w14:textId="77777777" w:rsidR="00FD4FD8" w:rsidRPr="00FC5ACC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GRINOVER, Ada Pellegrini. “Paixão e morte do contempt of court 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brasileiro”. </w:t>
            </w:r>
            <w:r w:rsidRPr="00FC5AC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Pr="00FC5AC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O processo: estudos e pareceres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São Paulo: DPJ, 2009, pp. 211-218.</w:t>
            </w:r>
          </w:p>
          <w:p w14:paraId="54DD21BA" w14:textId="260682B6" w:rsidR="00FC5ACC" w:rsidRPr="00FC5ACC" w:rsidRDefault="00FC5ACC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</w:pPr>
            <w:r w:rsidRPr="00FC5ACC">
              <w:rPr>
                <w:rFonts w:ascii="Times New Roman" w:hAnsi="Times New Roman" w:cs="Times New Roman"/>
                <w:sz w:val="24"/>
                <w:szCs w:val="24"/>
              </w:rPr>
              <w:t xml:space="preserve">LACERDA, Galeno. “Processo e cultura”. </w:t>
            </w:r>
            <w:r w:rsidRPr="00FC5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Revista de Direito Processual Civil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5A5A" w:rsidRPr="00FC5ACC">
              <w:rPr>
                <w:rFonts w:ascii="Times New Roman" w:hAnsi="Times New Roman" w:cs="Times New Roman"/>
                <w:sz w:val="24"/>
                <w:szCs w:val="24"/>
              </w:rPr>
              <w:t>São Paulo: Saraiva, 1962</w:t>
            </w:r>
            <w:r w:rsidR="00AA5A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C5ACC"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</w:p>
          <w:p w14:paraId="5B1732D7" w14:textId="20681AE9" w:rsidR="00FD4FD8" w:rsidRPr="00FC5ACC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MESQUITA. José Ignacio Botelho de. “A crise do Judiciário e o processo”. </w:t>
            </w:r>
            <w:r w:rsidRPr="00FC5AC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Pr="00FC5AC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Teses, Estudos e Pareceres de Processo Civil</w:t>
            </w:r>
            <w:r w:rsidR="00FA4AEA"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V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ol. 1</w:t>
            </w:r>
            <w:r w:rsidR="00FA4AEA"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São Paulo: RT, 2005, pp. 238 e ss.</w:t>
            </w:r>
          </w:p>
          <w:p w14:paraId="202C13F5" w14:textId="4974735C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SENNA, Andressa Paula. “O abuso de direito e a litigância de má-fé como impeditivos à marcha processual e ao resultado justo da prestação jurisdicional”. </w:t>
            </w:r>
            <w:r w:rsidRPr="00FC5AC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In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: </w:t>
            </w:r>
            <w:r w:rsidRPr="00FC5ACC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Revista de Direito Privado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, v. 10, </w:t>
            </w:r>
            <w:r w:rsidR="0027060A" w:rsidRPr="00FC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40, </w:t>
            </w:r>
            <w:r w:rsidR="00AA5A5A"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out/dez 2009</w:t>
            </w:r>
            <w:r w:rsidR="00AA5A5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, </w:t>
            </w:r>
            <w:r w:rsidRPr="00FC5ACC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pp. 09-59.</w:t>
            </w:r>
          </w:p>
        </w:tc>
      </w:tr>
      <w:tr w:rsidR="00FD4FD8" w:rsidRPr="00B43BAA" w14:paraId="5E817428" w14:textId="77777777" w:rsidTr="00F31F7F">
        <w:tc>
          <w:tcPr>
            <w:tcW w:w="2127" w:type="dxa"/>
          </w:tcPr>
          <w:p w14:paraId="24B83AB6" w14:textId="34C3B95B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Leitura complementar</w:t>
            </w:r>
          </w:p>
        </w:tc>
        <w:tc>
          <w:tcPr>
            <w:tcW w:w="7654" w:type="dxa"/>
            <w:gridSpan w:val="2"/>
          </w:tcPr>
          <w:p w14:paraId="27C661C7" w14:textId="24373CB2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ASSIS, Araken de. “O contempt of court no direito brasileiro”</w:t>
            </w:r>
            <w:r w:rsidR="0020471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, p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p. 18/37</w:t>
            </w:r>
            <w:r w:rsidR="0020471F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,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disponível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também na Academia Brasileira de Direito Processual Civil em: &lt;</w:t>
            </w:r>
            <w:hyperlink r:id="rId19" w:history="1">
              <w:r w:rsidR="00F34462" w:rsidRPr="00F34462">
                <w:rPr>
                  <w:rStyle w:val="Hyperlink"/>
                </w:rPr>
                <w:t>http://www.abdpc.org.br/abdpc/artigos/araken%20de%20assis(4)%20-%20formatado.pdf</w:t>
              </w:r>
            </w:hyperlink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&gt;.</w:t>
            </w:r>
          </w:p>
          <w:p w14:paraId="00A1CBC4" w14:textId="45553770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BARBOSA MOREIRA, José Carlos.</w:t>
            </w:r>
            <w:r w:rsidR="00575D27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“A Função Social do Processo Civil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Moderno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e o Papel do Juiz e das Partes na Direção e na Instrução do Processo”.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Temas de Direito Processual: Terceira Série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, São Paulo: Saraiva, 1984, pp. 43-56.</w:t>
            </w:r>
          </w:p>
          <w:p w14:paraId="5A12C1B8" w14:textId="4D267582" w:rsidR="00FD4FD8" w:rsidRPr="00B43BAA" w:rsidRDefault="00FD4FD8" w:rsidP="00987A8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BRASIL. Superior</w:t>
            </w:r>
            <w:r w:rsidRPr="00B43B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pt-BR"/>
              </w:rPr>
              <w:t xml:space="preserve"> Tribunal de Justiça (STJ).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Recurso Especial nº 1.817.845, MS (2016/0147826-7), Terceira Turma, Relatora Ministra Nancy Andrighi, disponível em</w:t>
            </w:r>
            <w:r w:rsidR="00073BB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&lt;</w:t>
            </w:r>
            <w:r w:rsidR="00073BB1" w:rsidRPr="00B43BAA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pt-BR"/>
              </w:rPr>
              <w:t>https://www.conjur.com.br/dl/acordao-stj-assedio-processual.pdf</w:t>
            </w:r>
            <w:r w:rsidR="00073BB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&gt;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</w:t>
            </w:r>
          </w:p>
          <w:p w14:paraId="1C9E8D6F" w14:textId="599A1707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GRINOVER, Ada Pellegrini. “Ética, abuso do processo e 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resistência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às ordens judiciárias o contempt of court”.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WAMBIER, Luiz Rodrigues; WAMBIER, Teresa Arruda Alvim (orgs.).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Doutrinas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 xml:space="preserve"> essenciais: Processo Civil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. </w:t>
            </w:r>
            <w:r w:rsidR="000271B1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Vol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1. São Paulo: RT, 2010, pp. 963-972.</w:t>
            </w:r>
          </w:p>
          <w:p w14:paraId="05671446" w14:textId="64084D48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MESQUITA. José Ignacio Botelho de. “A sentença mandamental”.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In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>Teses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Pr="00B43BAA">
              <w:rPr>
                <w:rFonts w:ascii="Times New Roman" w:eastAsia="Times New Roman" w:hAnsi="Times New Roman" w:cs="Times New Roman"/>
                <w:i/>
                <w:iCs/>
                <w:color w:val="201F1E"/>
                <w:sz w:val="24"/>
                <w:szCs w:val="24"/>
                <w:lang w:eastAsia="pt-BR"/>
              </w:rPr>
              <w:t xml:space="preserve"> Estudos e Pareceres de Processo Civil</w:t>
            </w:r>
            <w:r w:rsidRPr="00B43BAA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. Vol. 2. São Paulo: RT, 2005, pp. 168 e ss.</w:t>
            </w:r>
          </w:p>
        </w:tc>
      </w:tr>
      <w:tr w:rsidR="00FD4FD8" w:rsidRPr="00B43BAA" w14:paraId="54E71EF7" w14:textId="77777777" w:rsidTr="00F31F7F">
        <w:tc>
          <w:tcPr>
            <w:tcW w:w="2127" w:type="dxa"/>
            <w:tcBorders>
              <w:bottom w:val="single" w:sz="4" w:space="0" w:color="auto"/>
            </w:tcBorders>
          </w:tcPr>
          <w:p w14:paraId="6315F4A6" w14:textId="53AA9B91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B43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Seminário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</w:tcPr>
          <w:p w14:paraId="0F0FEC80" w14:textId="023BA5D3" w:rsidR="00FD4FD8" w:rsidRPr="00B43BAA" w:rsidRDefault="00D833FB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Tema do seminário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Quais foram os avanços e os retrocessos</w:t>
            </w:r>
            <w:r w:rsidR="00FD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entre o CPC 1973 e o CPC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/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2015, na proteção dos litigantes de boa-fé? A prevenção do abuso processual destina-se à proteção da administração da justiça ou das partes litigantes? Como podemos </w:t>
            </w:r>
            <w:r w:rsidR="00FD4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aperfeiçoar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modelo brasilei</w:t>
            </w:r>
            <w:r w:rsidR="0057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</w:t>
            </w:r>
            <w:r w:rsidR="00FD4FD8"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de prevenção do abuso processual?</w:t>
            </w:r>
          </w:p>
          <w:p w14:paraId="70F09249" w14:textId="0EF17E27" w:rsidR="00FD4FD8" w:rsidRPr="00B43BAA" w:rsidRDefault="00FD4FD8" w:rsidP="00987A84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Expositor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055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14:paraId="21D71FAE" w14:textId="3369C528" w:rsidR="00FD4FD8" w:rsidRPr="00B43BAA" w:rsidRDefault="00FD4FD8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3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Debatedor</w:t>
            </w:r>
            <w:r w:rsidRPr="00B43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7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B43BAA" w:rsidRPr="00B43BAA" w14:paraId="4E47F42E" w14:textId="77777777" w:rsidTr="00F31F7F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BD1E2" w14:textId="74B57B08" w:rsidR="003408C3" w:rsidRPr="00B43BAA" w:rsidRDefault="003408C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F9103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AE59F" w14:textId="77777777" w:rsidR="00B43BAA" w:rsidRPr="00B43BAA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87A84" w:rsidRPr="00987A84" w14:paraId="78C34AB2" w14:textId="77777777" w:rsidTr="00F31F7F">
        <w:tc>
          <w:tcPr>
            <w:tcW w:w="2127" w:type="dxa"/>
            <w:tcBorders>
              <w:top w:val="single" w:sz="4" w:space="0" w:color="auto"/>
            </w:tcBorders>
            <w:shd w:val="clear" w:color="auto" w:fill="8A0000"/>
          </w:tcPr>
          <w:p w14:paraId="396F665F" w14:textId="16EA9A09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Aula 14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8A0000"/>
          </w:tcPr>
          <w:p w14:paraId="01B7264E" w14:textId="41240D35" w:rsidR="00B43BAA" w:rsidRPr="00987A84" w:rsidRDefault="00B43BAA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Arguição dos trabalhos escritos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8A0000"/>
          </w:tcPr>
          <w:p w14:paraId="6A451F01" w14:textId="69742DAD" w:rsidR="00B43BAA" w:rsidRPr="00987A84" w:rsidRDefault="00782323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19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6</w:t>
            </w:r>
            <w:r w:rsidR="00B43BAA" w:rsidRPr="00987A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3</w:t>
            </w:r>
          </w:p>
        </w:tc>
      </w:tr>
      <w:tr w:rsidR="006C6374" w:rsidRPr="00B43BAA" w14:paraId="21E9B110" w14:textId="77777777" w:rsidTr="00F31F7F">
        <w:tc>
          <w:tcPr>
            <w:tcW w:w="2127" w:type="dxa"/>
          </w:tcPr>
          <w:p w14:paraId="77157DA1" w14:textId="77777777" w:rsidR="006C6374" w:rsidRPr="00B43BAA" w:rsidRDefault="006C6374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7654" w:type="dxa"/>
            <w:gridSpan w:val="2"/>
          </w:tcPr>
          <w:p w14:paraId="1A9D5C46" w14:textId="1C450D51" w:rsidR="006C6374" w:rsidRPr="00B43BAA" w:rsidRDefault="006C6374" w:rsidP="00987A84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Apresentação dos trabalhos e arguição oral, com réplica e comentários dos professores.</w:t>
            </w:r>
          </w:p>
        </w:tc>
      </w:tr>
    </w:tbl>
    <w:p w14:paraId="0B310A8B" w14:textId="15652499" w:rsidR="00B43BAA" w:rsidRDefault="00B43BAA" w:rsidP="00B4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02F728" w14:textId="77777777" w:rsidR="00DE533C" w:rsidRPr="00D13DB9" w:rsidRDefault="00DE533C" w:rsidP="00B4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0E1C9" w14:textId="77777777" w:rsidR="00DE533C" w:rsidRPr="00D13DB9" w:rsidRDefault="00DE533C" w:rsidP="00834DB6">
      <w:pPr>
        <w:pStyle w:val="Corpo"/>
        <w:tabs>
          <w:tab w:val="left" w:pos="720"/>
        </w:tabs>
        <w:spacing w:before="240" w:after="120"/>
        <w:jc w:val="both"/>
        <w:rPr>
          <w:rStyle w:val="Nenhum"/>
          <w:rFonts w:ascii="Times New Roman" w:hAnsi="Times New Roman" w:cs="Times New Roman"/>
          <w:b/>
          <w:bCs/>
          <w:u w:val="single"/>
        </w:rPr>
      </w:pPr>
      <w:r w:rsidRPr="00D13DB9">
        <w:rPr>
          <w:rStyle w:val="Nenhum"/>
          <w:rFonts w:ascii="Times New Roman" w:hAnsi="Times New Roman" w:cs="Times New Roman"/>
          <w:b/>
          <w:bCs/>
        </w:rPr>
        <w:t>1)</w:t>
      </w:r>
      <w:r w:rsidRPr="00D13DB9">
        <w:rPr>
          <w:rStyle w:val="Nenhum"/>
          <w:rFonts w:ascii="Times New Roman" w:hAnsi="Times New Roman" w:cs="Times New Roman"/>
          <w:b/>
          <w:bCs/>
        </w:rPr>
        <w:tab/>
      </w:r>
      <w:r w:rsidRPr="00D13DB9">
        <w:rPr>
          <w:rStyle w:val="Nenhum"/>
          <w:rFonts w:ascii="Times New Roman" w:hAnsi="Times New Roman" w:cs="Times New Roman"/>
          <w:b/>
          <w:bCs/>
          <w:u w:val="single"/>
          <w:lang w:val="es-ES_tradnl"/>
        </w:rPr>
        <w:t>Prepara</w:t>
      </w:r>
      <w:r w:rsidRPr="00D13DB9">
        <w:rPr>
          <w:rStyle w:val="Nenhum"/>
          <w:rFonts w:ascii="Times New Roman" w:hAnsi="Times New Roman" w:cs="Times New Roman"/>
          <w:b/>
          <w:bCs/>
          <w:u w:val="single"/>
        </w:rPr>
        <w:t>ção para a aula</w:t>
      </w:r>
    </w:p>
    <w:p w14:paraId="7142CDD5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>Todos os alunos devem ler os textos indicados na bibliografia de cada aula. O Professor fará uma breve exposição sobre o tema para iniciar a discussão, utilizando-se, para tanto, do "Método Socrático" (</w:t>
      </w:r>
      <w:r w:rsidRPr="00D13DB9">
        <w:rPr>
          <w:rFonts w:ascii="Times New Roman" w:hAnsi="Times New Roman" w:cs="Times New Roman"/>
          <w:i/>
        </w:rPr>
        <w:t>o professor conduz os alunos a um processo de reflexão e descoberta do tema a partir de perguntas dirigidas aos alunos sobre todos os textos indicados para as bibliografias básica e complementar</w:t>
      </w:r>
      <w:r w:rsidRPr="00D13DB9">
        <w:rPr>
          <w:rFonts w:ascii="Times New Roman" w:hAnsi="Times New Roman" w:cs="Times New Roman"/>
        </w:rPr>
        <w:t xml:space="preserve">). </w:t>
      </w:r>
      <w:r w:rsidRPr="00D13DB9">
        <w:rPr>
          <w:rFonts w:ascii="Times New Roman" w:hAnsi="Times New Roman" w:cs="Times New Roman"/>
          <w:lang w:val="it-IT"/>
        </w:rPr>
        <w:t>A participa</w:t>
      </w:r>
      <w:r w:rsidRPr="00D13DB9">
        <w:rPr>
          <w:rFonts w:ascii="Times New Roman" w:hAnsi="Times New Roman" w:cs="Times New Roman"/>
        </w:rPr>
        <w:t>ção do aluno durante a exposição do Professor e o seminário dos colegas será levada em consideração na avaliaçã</w:t>
      </w:r>
      <w:r w:rsidRPr="00D13DB9">
        <w:rPr>
          <w:rFonts w:ascii="Times New Roman" w:hAnsi="Times New Roman" w:cs="Times New Roman"/>
          <w:lang w:val="it-IT"/>
        </w:rPr>
        <w:t>o.</w:t>
      </w:r>
    </w:p>
    <w:p w14:paraId="2ADF6149" w14:textId="77777777" w:rsidR="00DE533C" w:rsidRPr="00D13DB9" w:rsidRDefault="00DE533C" w:rsidP="00834DB6">
      <w:pPr>
        <w:pStyle w:val="Corpo"/>
        <w:tabs>
          <w:tab w:val="left" w:pos="720"/>
        </w:tabs>
        <w:spacing w:before="240" w:after="120"/>
        <w:jc w:val="both"/>
        <w:rPr>
          <w:rStyle w:val="Nenhum"/>
          <w:rFonts w:ascii="Times New Roman" w:hAnsi="Times New Roman" w:cs="Times New Roman"/>
          <w:b/>
          <w:bCs/>
        </w:rPr>
      </w:pPr>
      <w:r w:rsidRPr="00D13DB9">
        <w:rPr>
          <w:rStyle w:val="Nenhum"/>
          <w:rFonts w:ascii="Times New Roman" w:hAnsi="Times New Roman" w:cs="Times New Roman"/>
          <w:b/>
          <w:bCs/>
        </w:rPr>
        <w:t>2)</w:t>
      </w:r>
      <w:r w:rsidRPr="00D13DB9">
        <w:rPr>
          <w:rStyle w:val="Nenhum"/>
          <w:rFonts w:ascii="Times New Roman" w:hAnsi="Times New Roman" w:cs="Times New Roman"/>
          <w:b/>
          <w:bCs/>
        </w:rPr>
        <w:tab/>
        <w:t>Seminário</w:t>
      </w:r>
    </w:p>
    <w:p w14:paraId="56A3FF91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>Cada aluno deverá participar ao menos de um seminário como Expositor e um seminário como Debatedor. Cada seminá</w:t>
      </w:r>
      <w:r w:rsidRPr="00D13DB9">
        <w:rPr>
          <w:rFonts w:ascii="Times New Roman" w:hAnsi="Times New Roman" w:cs="Times New Roman"/>
          <w:lang w:val="it-IT"/>
        </w:rPr>
        <w:t>rio ser</w:t>
      </w:r>
      <w:r w:rsidRPr="00D13DB9">
        <w:rPr>
          <w:rFonts w:ascii="Times New Roman" w:hAnsi="Times New Roman" w:cs="Times New Roman"/>
        </w:rPr>
        <w:t>á realizado por um Expositor e um Debatedor, avaliados individualmente.</w:t>
      </w:r>
    </w:p>
    <w:p w14:paraId="6C90338B" w14:textId="77777777" w:rsidR="00DE533C" w:rsidRPr="00D13DB9" w:rsidRDefault="00DE533C" w:rsidP="00834DB6">
      <w:pPr>
        <w:pStyle w:val="Corpo"/>
        <w:tabs>
          <w:tab w:val="left" w:pos="720"/>
        </w:tabs>
        <w:spacing w:before="240" w:after="120"/>
        <w:jc w:val="both"/>
        <w:rPr>
          <w:rStyle w:val="Nenhum"/>
          <w:rFonts w:ascii="Times New Roman" w:hAnsi="Times New Roman" w:cs="Times New Roman"/>
          <w:b/>
        </w:rPr>
      </w:pPr>
      <w:r w:rsidRPr="00D13DB9">
        <w:rPr>
          <w:rStyle w:val="Nenhum"/>
          <w:rFonts w:ascii="Times New Roman" w:hAnsi="Times New Roman" w:cs="Times New Roman"/>
          <w:b/>
        </w:rPr>
        <w:t>2.1)</w:t>
      </w:r>
      <w:r w:rsidRPr="00D13DB9">
        <w:rPr>
          <w:rStyle w:val="Nenhum"/>
          <w:rFonts w:ascii="Times New Roman" w:hAnsi="Times New Roman" w:cs="Times New Roman"/>
          <w:b/>
        </w:rPr>
        <w:tab/>
        <w:t>O aluno Expositor deverá:</w:t>
      </w:r>
    </w:p>
    <w:p w14:paraId="73163B7A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  <w:b/>
        </w:rPr>
        <w:t>a)</w:t>
      </w:r>
      <w:r w:rsidRPr="00D13DB9">
        <w:rPr>
          <w:rFonts w:ascii="Times New Roman" w:hAnsi="Times New Roman" w:cs="Times New Roman"/>
        </w:rPr>
        <w:tab/>
        <w:t xml:space="preserve">Preparar </w:t>
      </w:r>
      <w:r w:rsidRPr="00D13DB9">
        <w:rPr>
          <w:rStyle w:val="Nenhum"/>
          <w:rFonts w:ascii="Times New Roman" w:hAnsi="Times New Roman" w:cs="Times New Roman"/>
          <w:i/>
          <w:iCs/>
          <w:lang w:val="pt-BR"/>
        </w:rPr>
        <w:t xml:space="preserve">handout preliminar </w:t>
      </w:r>
      <w:r w:rsidRPr="00D13DB9">
        <w:rPr>
          <w:rFonts w:ascii="Times New Roman" w:hAnsi="Times New Roman" w:cs="Times New Roman"/>
        </w:rPr>
        <w:t xml:space="preserve">a ser distribuído no dia da apresentação aos demais alunos e aos Professores contendo </w:t>
      </w:r>
      <w:r w:rsidRPr="00D13DB9">
        <w:rPr>
          <w:rStyle w:val="Nenhum"/>
          <w:rFonts w:ascii="Times New Roman" w:hAnsi="Times New Roman" w:cs="Times New Roman"/>
          <w:i/>
          <w:iCs/>
        </w:rPr>
        <w:t>(i)</w:t>
      </w:r>
      <w:r w:rsidRPr="00D13DB9">
        <w:rPr>
          <w:rFonts w:ascii="Times New Roman" w:hAnsi="Times New Roman" w:cs="Times New Roman"/>
        </w:rPr>
        <w:t xml:space="preserve"> o roteiro da apresentação; </w:t>
      </w:r>
      <w:r w:rsidRPr="00D13DB9">
        <w:rPr>
          <w:rStyle w:val="Nenhum"/>
          <w:rFonts w:ascii="Times New Roman" w:hAnsi="Times New Roman" w:cs="Times New Roman"/>
          <w:i/>
          <w:iCs/>
        </w:rPr>
        <w:t>(ii)</w:t>
      </w:r>
      <w:r w:rsidRPr="00D13DB9">
        <w:rPr>
          <w:rFonts w:ascii="Times New Roman" w:hAnsi="Times New Roman" w:cs="Times New Roman"/>
        </w:rPr>
        <w:t xml:space="preserve"> as principais conclusões e os pontos para discussã</w:t>
      </w:r>
      <w:r w:rsidRPr="00D13DB9">
        <w:rPr>
          <w:rFonts w:ascii="Times New Roman" w:hAnsi="Times New Roman" w:cs="Times New Roman"/>
          <w:lang w:val="it-IT"/>
        </w:rPr>
        <w:t xml:space="preserve">o; e </w:t>
      </w:r>
      <w:r w:rsidRPr="00D13DB9">
        <w:rPr>
          <w:rStyle w:val="Nenhum"/>
          <w:rFonts w:ascii="Times New Roman" w:hAnsi="Times New Roman" w:cs="Times New Roman"/>
          <w:i/>
          <w:iCs/>
        </w:rPr>
        <w:t>(iii)</w:t>
      </w:r>
      <w:r w:rsidRPr="00D13DB9">
        <w:rPr>
          <w:rFonts w:ascii="Times New Roman" w:hAnsi="Times New Roman" w:cs="Times New Roman"/>
        </w:rPr>
        <w:t xml:space="preserve"> as refer</w:t>
      </w:r>
      <w:r w:rsidRPr="00D13DB9">
        <w:rPr>
          <w:rFonts w:ascii="Times New Roman" w:hAnsi="Times New Roman" w:cs="Times New Roman"/>
          <w:lang w:val="fr-FR"/>
        </w:rPr>
        <w:t>ê</w:t>
      </w:r>
      <w:r w:rsidRPr="00D13DB9">
        <w:rPr>
          <w:rFonts w:ascii="Times New Roman" w:hAnsi="Times New Roman" w:cs="Times New Roman"/>
        </w:rPr>
        <w:t>ncias específicas ao tema na doutrina (inclusive estrangeira) e jurisprud</w:t>
      </w:r>
      <w:r w:rsidRPr="00D13DB9">
        <w:rPr>
          <w:rFonts w:ascii="Times New Roman" w:hAnsi="Times New Roman" w:cs="Times New Roman"/>
          <w:lang w:val="fr-FR"/>
        </w:rPr>
        <w:t>ê</w:t>
      </w:r>
      <w:r w:rsidRPr="00D13DB9">
        <w:rPr>
          <w:rFonts w:ascii="Times New Roman" w:hAnsi="Times New Roman" w:cs="Times New Roman"/>
        </w:rPr>
        <w:t>ncia pesquisadas (que deve incluir, mas não se limitar ao material indicado no programa);</w:t>
      </w:r>
    </w:p>
    <w:p w14:paraId="36F4AB63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  <w:b/>
        </w:rPr>
        <w:t>b)</w:t>
      </w:r>
      <w:r w:rsidRPr="00D13DB9">
        <w:rPr>
          <w:rFonts w:ascii="Times New Roman" w:hAnsi="Times New Roman" w:cs="Times New Roman"/>
        </w:rPr>
        <w:tab/>
        <w:t>Apresentar oralmente o tema, por, no máximo, 45 minutos, valendo-se de recursos audiovisuais (</w:t>
      </w:r>
      <w:r w:rsidRPr="00D13DB9">
        <w:rPr>
          <w:rStyle w:val="Nenhum"/>
          <w:rFonts w:ascii="Times New Roman" w:hAnsi="Times New Roman" w:cs="Times New Roman"/>
          <w:i/>
          <w:iCs/>
        </w:rPr>
        <w:t>v.g.</w:t>
      </w:r>
      <w:r w:rsidRPr="00D13DB9">
        <w:rPr>
          <w:rFonts w:ascii="Times New Roman" w:hAnsi="Times New Roman" w:cs="Times New Roman"/>
        </w:rPr>
        <w:t xml:space="preserve"> apresentação em </w:t>
      </w:r>
      <w:r w:rsidRPr="00D13DB9">
        <w:rPr>
          <w:rStyle w:val="Nenhum"/>
          <w:rFonts w:ascii="Times New Roman" w:hAnsi="Times New Roman" w:cs="Times New Roman"/>
          <w:i/>
          <w:iCs/>
          <w:lang w:val="pt-BR"/>
        </w:rPr>
        <w:t>PowerPoint</w:t>
      </w:r>
      <w:r w:rsidRPr="00D13DB9">
        <w:rPr>
          <w:rFonts w:ascii="Times New Roman" w:hAnsi="Times New Roman" w:cs="Times New Roman"/>
        </w:rPr>
        <w:t>).</w:t>
      </w:r>
    </w:p>
    <w:p w14:paraId="635FB660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 xml:space="preserve">A apresentação do tema deve ser objetiva e profunda, fazendo menção </w:t>
      </w:r>
      <w:r w:rsidRPr="00D13DB9">
        <w:rPr>
          <w:rFonts w:ascii="Times New Roman" w:hAnsi="Times New Roman" w:cs="Times New Roman"/>
          <w:lang w:val="fr-FR"/>
        </w:rPr>
        <w:t xml:space="preserve">à </w:t>
      </w:r>
      <w:r w:rsidRPr="00D13DB9">
        <w:rPr>
          <w:rFonts w:ascii="Times New Roman" w:hAnsi="Times New Roman" w:cs="Times New Roman"/>
        </w:rPr>
        <w:t xml:space="preserve">pesquisa realizada, fomentando discussões sobre temas controversos (o Expositor não pode ler ou fazer uma exposição superficial sobre o tema. Deve, ao contrário, partir do pressuposto que o tema </w:t>
      </w:r>
      <w:r w:rsidRPr="00D13DB9">
        <w:rPr>
          <w:rFonts w:ascii="Times New Roman" w:hAnsi="Times New Roman" w:cs="Times New Roman"/>
          <w:lang w:val="fr-FR"/>
        </w:rPr>
        <w:t xml:space="preserve">é </w:t>
      </w:r>
      <w:r w:rsidRPr="00D13DB9">
        <w:rPr>
          <w:rFonts w:ascii="Times New Roman" w:hAnsi="Times New Roman" w:cs="Times New Roman"/>
        </w:rPr>
        <w:t>do conhecimento de todos os demais colegas).</w:t>
      </w:r>
    </w:p>
    <w:p w14:paraId="69E470AA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 xml:space="preserve">Considerando que o programa de pós-graduação </w:t>
      </w:r>
      <w:r w:rsidRPr="00D13DB9">
        <w:rPr>
          <w:rStyle w:val="Nenhum"/>
          <w:rFonts w:ascii="Times New Roman" w:hAnsi="Times New Roman" w:cs="Times New Roman"/>
          <w:i/>
          <w:iCs/>
        </w:rPr>
        <w:t>stricto sensu</w:t>
      </w:r>
      <w:r w:rsidRPr="00D13DB9">
        <w:rPr>
          <w:rFonts w:ascii="Times New Roman" w:hAnsi="Times New Roman" w:cs="Times New Roman"/>
        </w:rPr>
        <w:t xml:space="preserve"> destina-se, sobretudo, a formar docentes, será avaliada a forma de exposição do seminário, a escolha dos pontos relevantes para discussão, a profundidade da pesquisa realizada, o tempo utilizado para exposição e as respostas durante o debate.</w:t>
      </w:r>
    </w:p>
    <w:p w14:paraId="7BC32A42" w14:textId="290928FB" w:rsidR="00DE533C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lang w:val="it-IT"/>
        </w:rPr>
      </w:pPr>
      <w:r w:rsidRPr="00D13DB9">
        <w:rPr>
          <w:rFonts w:ascii="Times New Roman" w:hAnsi="Times New Roman" w:cs="Times New Roman"/>
          <w:b/>
        </w:rPr>
        <w:t>c)</w:t>
      </w:r>
      <w:r w:rsidRPr="00D13DB9">
        <w:rPr>
          <w:rFonts w:ascii="Times New Roman" w:hAnsi="Times New Roman" w:cs="Times New Roman"/>
        </w:rPr>
        <w:tab/>
        <w:t xml:space="preserve">Entregar, na aula seguinte, o </w:t>
      </w:r>
      <w:r w:rsidRPr="00D13DB9">
        <w:rPr>
          <w:rStyle w:val="Nenhum"/>
          <w:rFonts w:ascii="Times New Roman" w:hAnsi="Times New Roman" w:cs="Times New Roman"/>
          <w:i/>
          <w:iCs/>
          <w:lang w:val="it-IT"/>
        </w:rPr>
        <w:t>handout definitivo</w:t>
      </w:r>
      <w:r w:rsidRPr="00D13DB9">
        <w:rPr>
          <w:rFonts w:ascii="Times New Roman" w:hAnsi="Times New Roman" w:cs="Times New Roman"/>
        </w:rPr>
        <w:t>, incluindo as correç</w:t>
      </w:r>
      <w:r w:rsidR="00575D27">
        <w:rPr>
          <w:rFonts w:ascii="Times New Roman" w:hAnsi="Times New Roman" w:cs="Times New Roman"/>
        </w:rPr>
        <w:t>õ</w:t>
      </w:r>
      <w:r w:rsidRPr="00D13DB9">
        <w:rPr>
          <w:rFonts w:ascii="Times New Roman" w:hAnsi="Times New Roman" w:cs="Times New Roman"/>
          <w:lang w:val="fr-FR"/>
        </w:rPr>
        <w:t>es, complementa</w:t>
      </w:r>
      <w:r w:rsidRPr="00D13DB9">
        <w:rPr>
          <w:rFonts w:ascii="Times New Roman" w:hAnsi="Times New Roman" w:cs="Times New Roman"/>
        </w:rPr>
        <w:t>ções, exemplos práticos e conclusões colhidas durante o seminá</w:t>
      </w:r>
      <w:r w:rsidRPr="00D13DB9">
        <w:rPr>
          <w:rFonts w:ascii="Times New Roman" w:hAnsi="Times New Roman" w:cs="Times New Roman"/>
          <w:lang w:val="it-IT"/>
        </w:rPr>
        <w:t xml:space="preserve">rio a partir das considerações do Debatedor, dos Professores e </w:t>
      </w:r>
      <w:proofErr w:type="spellStart"/>
      <w:r w:rsidRPr="00D13DB9">
        <w:rPr>
          <w:rFonts w:ascii="Times New Roman" w:hAnsi="Times New Roman" w:cs="Times New Roman"/>
          <w:lang w:val="it-IT"/>
        </w:rPr>
        <w:t>dos</w:t>
      </w:r>
      <w:proofErr w:type="spellEnd"/>
      <w:r w:rsidRPr="00D13DB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13DB9">
        <w:rPr>
          <w:rFonts w:ascii="Times New Roman" w:hAnsi="Times New Roman" w:cs="Times New Roman"/>
          <w:lang w:val="it-IT"/>
        </w:rPr>
        <w:t>demais</w:t>
      </w:r>
      <w:proofErr w:type="spellEnd"/>
      <w:r w:rsidRPr="00D13DB9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D13DB9">
        <w:rPr>
          <w:rFonts w:ascii="Times New Roman" w:hAnsi="Times New Roman" w:cs="Times New Roman"/>
          <w:lang w:val="it-IT"/>
        </w:rPr>
        <w:t>alunos</w:t>
      </w:r>
      <w:proofErr w:type="spellEnd"/>
      <w:r w:rsidRPr="00D13DB9">
        <w:rPr>
          <w:rFonts w:ascii="Times New Roman" w:hAnsi="Times New Roman" w:cs="Times New Roman"/>
          <w:lang w:val="it-IT"/>
        </w:rPr>
        <w:t>.</w:t>
      </w:r>
    </w:p>
    <w:p w14:paraId="5F75E492" w14:textId="77777777" w:rsidR="00782323" w:rsidRPr="00D13DB9" w:rsidRDefault="00782323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</w:p>
    <w:p w14:paraId="09391387" w14:textId="77777777" w:rsidR="00DE533C" w:rsidRPr="00D13DB9" w:rsidRDefault="00DE533C" w:rsidP="00834DB6">
      <w:pPr>
        <w:pStyle w:val="Corpo"/>
        <w:tabs>
          <w:tab w:val="left" w:pos="720"/>
        </w:tabs>
        <w:spacing w:before="240" w:after="120"/>
        <w:jc w:val="both"/>
        <w:rPr>
          <w:rStyle w:val="Nenhum"/>
          <w:rFonts w:ascii="Times New Roman" w:hAnsi="Times New Roman" w:cs="Times New Roman"/>
          <w:b/>
        </w:rPr>
      </w:pPr>
      <w:r w:rsidRPr="00D13DB9">
        <w:rPr>
          <w:rStyle w:val="Nenhum"/>
          <w:rFonts w:ascii="Times New Roman" w:hAnsi="Times New Roman" w:cs="Times New Roman"/>
          <w:b/>
        </w:rPr>
        <w:t>2.2)</w:t>
      </w:r>
      <w:r w:rsidRPr="00D13DB9">
        <w:rPr>
          <w:rStyle w:val="Nenhum"/>
          <w:rFonts w:ascii="Times New Roman" w:hAnsi="Times New Roman" w:cs="Times New Roman"/>
          <w:b/>
        </w:rPr>
        <w:tab/>
        <w:t>O aluno Debatedor deverá:</w:t>
      </w:r>
    </w:p>
    <w:p w14:paraId="6DAEC4BB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  <w:b/>
        </w:rPr>
        <w:t>a)</w:t>
      </w:r>
      <w:r w:rsidRPr="00D13DB9">
        <w:rPr>
          <w:rFonts w:ascii="Times New Roman" w:hAnsi="Times New Roman" w:cs="Times New Roman"/>
        </w:rPr>
        <w:tab/>
        <w:t>preparar considerações provocativas ao Expositor, num período de 5 a 10 minutos; e</w:t>
      </w:r>
    </w:p>
    <w:p w14:paraId="64BE3DF5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  <w:b/>
        </w:rPr>
        <w:t>b)</w:t>
      </w:r>
      <w:r w:rsidRPr="00D13DB9">
        <w:rPr>
          <w:rFonts w:ascii="Times New Roman" w:hAnsi="Times New Roman" w:cs="Times New Roman"/>
        </w:rPr>
        <w:tab/>
        <w:t xml:space="preserve">auxiliar o aluno Expositor a preparar o </w:t>
      </w:r>
      <w:r w:rsidRPr="00D13DB9">
        <w:rPr>
          <w:rStyle w:val="Nenhum"/>
          <w:rFonts w:ascii="Times New Roman" w:hAnsi="Times New Roman" w:cs="Times New Roman"/>
          <w:i/>
          <w:iCs/>
          <w:lang w:val="it-IT"/>
        </w:rPr>
        <w:t>handout definitivo</w:t>
      </w:r>
      <w:r w:rsidRPr="00D13DB9">
        <w:rPr>
          <w:rFonts w:ascii="Times New Roman" w:hAnsi="Times New Roman" w:cs="Times New Roman"/>
        </w:rPr>
        <w:t>, apresentando-lhe as anotações feitas antes e durante o Seminário.</w:t>
      </w:r>
    </w:p>
    <w:p w14:paraId="715BBBF0" w14:textId="77777777" w:rsidR="00DE533C" w:rsidRPr="00D13DB9" w:rsidRDefault="00DE533C" w:rsidP="00834DB6">
      <w:pPr>
        <w:pStyle w:val="Corpo"/>
        <w:tabs>
          <w:tab w:val="left" w:pos="720"/>
        </w:tabs>
        <w:spacing w:before="240" w:after="120"/>
        <w:jc w:val="both"/>
        <w:rPr>
          <w:rStyle w:val="Nenhum"/>
          <w:rFonts w:ascii="Times New Roman" w:hAnsi="Times New Roman" w:cs="Times New Roman"/>
          <w:b/>
          <w:bCs/>
        </w:rPr>
      </w:pPr>
      <w:r w:rsidRPr="00D13DB9">
        <w:rPr>
          <w:rStyle w:val="Nenhum"/>
          <w:rFonts w:ascii="Times New Roman" w:hAnsi="Times New Roman" w:cs="Times New Roman"/>
          <w:b/>
          <w:bCs/>
        </w:rPr>
        <w:lastRenderedPageBreak/>
        <w:t>3)</w:t>
      </w:r>
      <w:r w:rsidRPr="00D13DB9">
        <w:rPr>
          <w:rStyle w:val="Nenhum"/>
          <w:rFonts w:ascii="Times New Roman" w:hAnsi="Times New Roman" w:cs="Times New Roman"/>
          <w:b/>
          <w:bCs/>
        </w:rPr>
        <w:tab/>
        <w:t>Trabalho individual escrito e banca de arguição</w:t>
      </w:r>
    </w:p>
    <w:p w14:paraId="6745E184" w14:textId="77777777" w:rsidR="00DE533C" w:rsidRPr="00D13DB9" w:rsidRDefault="00DE533C" w:rsidP="00834DB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B9">
        <w:rPr>
          <w:rFonts w:ascii="Times New Roman" w:hAnsi="Times New Roman" w:cs="Times New Roman"/>
          <w:sz w:val="24"/>
          <w:szCs w:val="24"/>
        </w:rPr>
        <w:t>Cada aluno deverá elaborar trabalho escrito, versando necessariamente sobre um tema abrangido pelo programa. O trabalho, que será objeto de arguição em banca na última aula do curso, deve preencher os seguintes requisitos:</w:t>
      </w:r>
    </w:p>
    <w:p w14:paraId="7EE9848D" w14:textId="77777777" w:rsidR="00DE533C" w:rsidRPr="00D13DB9" w:rsidRDefault="00DE533C" w:rsidP="00834DB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B9">
        <w:rPr>
          <w:rFonts w:ascii="Times New Roman" w:hAnsi="Times New Roman" w:cs="Times New Roman"/>
          <w:b/>
          <w:i/>
          <w:sz w:val="24"/>
          <w:szCs w:val="24"/>
        </w:rPr>
        <w:t>(i)</w:t>
      </w:r>
      <w:r w:rsidRPr="00D13DB9">
        <w:rPr>
          <w:rFonts w:ascii="Times New Roman" w:hAnsi="Times New Roman" w:cs="Times New Roman"/>
          <w:sz w:val="24"/>
          <w:szCs w:val="24"/>
        </w:rPr>
        <w:t xml:space="preserve"> respeitar os critérios de formatação exigidos para teses e dissertações adotadas pela Faculdade de Direito da Universidade de São Paulo;</w:t>
      </w:r>
    </w:p>
    <w:p w14:paraId="5F8F223C" w14:textId="54F970AA" w:rsidR="00DE533C" w:rsidRPr="00D13DB9" w:rsidRDefault="00DE533C" w:rsidP="00834DB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B9">
        <w:rPr>
          <w:rFonts w:ascii="Times New Roman" w:hAnsi="Times New Roman" w:cs="Times New Roman"/>
          <w:b/>
          <w:i/>
          <w:sz w:val="24"/>
          <w:szCs w:val="24"/>
        </w:rPr>
        <w:t>(ii)</w:t>
      </w:r>
      <w:r w:rsidRPr="00D13DB9">
        <w:rPr>
          <w:rFonts w:ascii="Times New Roman" w:hAnsi="Times New Roman" w:cs="Times New Roman"/>
          <w:sz w:val="24"/>
          <w:szCs w:val="24"/>
        </w:rPr>
        <w:t xml:space="preserve"> entre 20 e 30 páginas</w:t>
      </w:r>
      <w:r w:rsidR="008F02C3">
        <w:rPr>
          <w:rFonts w:ascii="Times New Roman" w:hAnsi="Times New Roman" w:cs="Times New Roman"/>
          <w:sz w:val="24"/>
          <w:szCs w:val="24"/>
        </w:rPr>
        <w:t xml:space="preserve">, sem considerar os aspectos formais (capa, índice, bibliografia </w:t>
      </w:r>
      <w:r w:rsidR="008F02C3" w:rsidRPr="008F02C3">
        <w:rPr>
          <w:rFonts w:ascii="Times New Roman" w:hAnsi="Times New Roman" w:cs="Times New Roman"/>
          <w:i/>
          <w:iCs/>
          <w:sz w:val="24"/>
          <w:szCs w:val="24"/>
        </w:rPr>
        <w:t>etc.</w:t>
      </w:r>
      <w:r w:rsidR="008F02C3">
        <w:rPr>
          <w:rFonts w:ascii="Times New Roman" w:hAnsi="Times New Roman" w:cs="Times New Roman"/>
          <w:sz w:val="24"/>
          <w:szCs w:val="24"/>
        </w:rPr>
        <w:t>)</w:t>
      </w:r>
      <w:r w:rsidRPr="00D13DB9">
        <w:rPr>
          <w:rFonts w:ascii="Times New Roman" w:hAnsi="Times New Roman" w:cs="Times New Roman"/>
          <w:sz w:val="24"/>
          <w:szCs w:val="24"/>
        </w:rPr>
        <w:t>; e</w:t>
      </w:r>
    </w:p>
    <w:p w14:paraId="1121524F" w14:textId="73313479" w:rsidR="00DE533C" w:rsidRPr="00D13DB9" w:rsidRDefault="00DE533C" w:rsidP="00834DB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B9">
        <w:rPr>
          <w:rFonts w:ascii="Times New Roman" w:hAnsi="Times New Roman" w:cs="Times New Roman"/>
          <w:b/>
          <w:i/>
          <w:sz w:val="24"/>
          <w:szCs w:val="24"/>
        </w:rPr>
        <w:t>(iii)</w:t>
      </w:r>
      <w:r w:rsidRPr="00D13DB9">
        <w:rPr>
          <w:rFonts w:ascii="Times New Roman" w:hAnsi="Times New Roman" w:cs="Times New Roman"/>
          <w:sz w:val="24"/>
          <w:szCs w:val="24"/>
        </w:rPr>
        <w:t xml:space="preserve"> </w:t>
      </w:r>
      <w:r w:rsidR="00F34462">
        <w:rPr>
          <w:rFonts w:ascii="Times New Roman" w:hAnsi="Times New Roman" w:cs="Times New Roman"/>
          <w:sz w:val="24"/>
          <w:szCs w:val="24"/>
        </w:rPr>
        <w:t>traçar a pe</w:t>
      </w:r>
      <w:r w:rsidR="00802AB0">
        <w:rPr>
          <w:rFonts w:ascii="Times New Roman" w:hAnsi="Times New Roman" w:cs="Times New Roman"/>
          <w:sz w:val="24"/>
          <w:szCs w:val="24"/>
        </w:rPr>
        <w:t>rs</w:t>
      </w:r>
      <w:r w:rsidR="00F34462">
        <w:rPr>
          <w:rFonts w:ascii="Times New Roman" w:hAnsi="Times New Roman" w:cs="Times New Roman"/>
          <w:sz w:val="24"/>
          <w:szCs w:val="24"/>
        </w:rPr>
        <w:t>pectiva do tema em relação aos CPC 1973 e o NCPC 2015</w:t>
      </w:r>
      <w:r w:rsidRPr="00D13DB9">
        <w:rPr>
          <w:rFonts w:ascii="Times New Roman" w:hAnsi="Times New Roman" w:cs="Times New Roman"/>
          <w:sz w:val="24"/>
          <w:szCs w:val="24"/>
        </w:rPr>
        <w:t>.</w:t>
      </w:r>
    </w:p>
    <w:p w14:paraId="465F5380" w14:textId="13CF3358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 xml:space="preserve">Os trabalhos devem ser entregues em PDF nos e-mails </w:t>
      </w:r>
      <w:hyperlink r:id="rId20" w:history="1">
        <w:r w:rsidR="00782323" w:rsidRPr="00287D19">
          <w:rPr>
            <w:rStyle w:val="Hyperlink"/>
            <w:rFonts w:ascii="Times New Roman" w:hAnsi="Times New Roman" w:cs="Times New Roman"/>
          </w:rPr>
          <w:t>w.pivarodrigues@gmail.com</w:t>
        </w:r>
      </w:hyperlink>
      <w:r w:rsidR="00782323">
        <w:rPr>
          <w:rFonts w:ascii="Times New Roman" w:hAnsi="Times New Roman" w:cs="Times New Roman"/>
        </w:rPr>
        <w:t xml:space="preserve"> e </w:t>
      </w:r>
      <w:hyperlink r:id="rId21" w:history="1">
        <w:r w:rsidR="00782323" w:rsidRPr="00287D19">
          <w:rPr>
            <w:rStyle w:val="Hyperlink"/>
            <w:rFonts w:ascii="Times New Roman" w:hAnsi="Times New Roman" w:cs="Times New Roman"/>
          </w:rPr>
          <w:t>rodolfo.amadeo@lhoc.com.br</w:t>
        </w:r>
      </w:hyperlink>
      <w:r w:rsidRPr="00D13DB9">
        <w:rPr>
          <w:rFonts w:ascii="Times New Roman" w:hAnsi="Times New Roman" w:cs="Times New Roman"/>
        </w:rPr>
        <w:t xml:space="preserve"> impreterivelmente </w:t>
      </w:r>
      <w:proofErr w:type="spellStart"/>
      <w:r w:rsidRPr="00D13DB9">
        <w:rPr>
          <w:rFonts w:ascii="Times New Roman" w:hAnsi="Times New Roman" w:cs="Times New Roman"/>
        </w:rPr>
        <w:t>at</w:t>
      </w:r>
      <w:proofErr w:type="spellEnd"/>
      <w:r w:rsidRPr="00D13DB9">
        <w:rPr>
          <w:rFonts w:ascii="Times New Roman" w:hAnsi="Times New Roman" w:cs="Times New Roman"/>
          <w:lang w:val="fr-FR"/>
        </w:rPr>
        <w:t xml:space="preserve">é 23h59 de </w:t>
      </w:r>
      <w:r w:rsidR="00782323">
        <w:rPr>
          <w:rFonts w:ascii="Times New Roman" w:hAnsi="Times New Roman" w:cs="Times New Roman"/>
          <w:b/>
          <w:bCs/>
          <w:color w:val="FF0000"/>
          <w:lang w:val="fr-FR"/>
        </w:rPr>
        <w:t>24</w:t>
      </w:r>
      <w:r w:rsidRPr="00D13DB9">
        <w:rPr>
          <w:rStyle w:val="Hyperlink0"/>
          <w:rFonts w:ascii="Times New Roman" w:hAnsi="Times New Roman" w:cs="Times New Roman"/>
          <w:b/>
          <w:bCs/>
          <w:smallCaps/>
          <w:color w:val="FF0000"/>
          <w:u w:color="1F497D"/>
        </w:rPr>
        <w:t>/0</w:t>
      </w:r>
      <w:r w:rsidR="00782323">
        <w:rPr>
          <w:rStyle w:val="Hyperlink0"/>
          <w:rFonts w:ascii="Times New Roman" w:hAnsi="Times New Roman" w:cs="Times New Roman"/>
          <w:b/>
          <w:bCs/>
          <w:smallCaps/>
          <w:color w:val="FF0000"/>
          <w:u w:color="1F497D"/>
        </w:rPr>
        <w:t>5</w:t>
      </w:r>
      <w:r w:rsidRPr="00D13DB9">
        <w:rPr>
          <w:rStyle w:val="Hyperlink0"/>
          <w:rFonts w:ascii="Times New Roman" w:hAnsi="Times New Roman" w:cs="Times New Roman"/>
          <w:b/>
          <w:bCs/>
          <w:smallCaps/>
          <w:color w:val="FF0000"/>
          <w:u w:color="1F497D"/>
        </w:rPr>
        <w:t>/202</w:t>
      </w:r>
      <w:r w:rsidR="00782323">
        <w:rPr>
          <w:rStyle w:val="Hyperlink0"/>
          <w:rFonts w:ascii="Times New Roman" w:hAnsi="Times New Roman" w:cs="Times New Roman"/>
          <w:b/>
          <w:bCs/>
          <w:smallCaps/>
          <w:color w:val="FF0000"/>
          <w:u w:color="1F497D"/>
        </w:rPr>
        <w:t>3</w:t>
      </w:r>
      <w:r w:rsidRPr="00D13DB9">
        <w:rPr>
          <w:rFonts w:ascii="Times New Roman" w:hAnsi="Times New Roman" w:cs="Times New Roman"/>
        </w:rPr>
        <w:t>.</w:t>
      </w:r>
    </w:p>
    <w:p w14:paraId="5213352F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>O trabalho deve se basear nas regras de formatação aplicáveis às dissertações e teses.</w:t>
      </w:r>
    </w:p>
    <w:p w14:paraId="45EC2431" w14:textId="77777777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Style w:val="Nenhum"/>
          <w:rFonts w:ascii="Times New Roman" w:hAnsi="Times New Roman" w:cs="Times New Roman"/>
        </w:rPr>
      </w:pPr>
      <w:r w:rsidRPr="00D13DB9">
        <w:rPr>
          <w:rFonts w:ascii="Times New Roman" w:hAnsi="Times New Roman" w:cs="Times New Roman"/>
        </w:rPr>
        <w:t xml:space="preserve">Na data designada ao final do curso, o aluno deverá </w:t>
      </w:r>
      <w:r w:rsidRPr="00D13DB9">
        <w:rPr>
          <w:rStyle w:val="Nenhum"/>
          <w:rFonts w:ascii="Times New Roman" w:hAnsi="Times New Roman" w:cs="Times New Roman"/>
        </w:rPr>
        <w:t>comparecer para fazer uma breve apresentação do trabalho e defend</w:t>
      </w:r>
      <w:r w:rsidRPr="00D13DB9">
        <w:rPr>
          <w:rStyle w:val="Nenhum"/>
          <w:rFonts w:ascii="Times New Roman" w:hAnsi="Times New Roman" w:cs="Times New Roman"/>
          <w:lang w:val="fr-FR"/>
        </w:rPr>
        <w:t>ê</w:t>
      </w:r>
      <w:r w:rsidRPr="00D13DB9">
        <w:rPr>
          <w:rStyle w:val="Nenhum"/>
          <w:rFonts w:ascii="Times New Roman" w:hAnsi="Times New Roman" w:cs="Times New Roman"/>
        </w:rPr>
        <w:t>-lo em arguição perante Banca Examinadora.</w:t>
      </w:r>
    </w:p>
    <w:p w14:paraId="0F3536A8" w14:textId="4E0817FD" w:rsidR="00DE533C" w:rsidRPr="00D13DB9" w:rsidRDefault="00DE533C" w:rsidP="00834DB6">
      <w:pPr>
        <w:pStyle w:val="Corpo"/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</w:rPr>
      </w:pPr>
      <w:r w:rsidRPr="00D13DB9">
        <w:rPr>
          <w:rStyle w:val="Nenhum"/>
          <w:rFonts w:ascii="Times New Roman" w:hAnsi="Times New Roman" w:cs="Times New Roman"/>
        </w:rPr>
        <w:t>Serão avaliados não s</w:t>
      </w:r>
      <w:r w:rsidR="00575D27">
        <w:rPr>
          <w:rStyle w:val="Nenhum"/>
          <w:rFonts w:ascii="Times New Roman" w:hAnsi="Times New Roman" w:cs="Times New Roman"/>
          <w:lang w:val="es-ES_tradnl"/>
        </w:rPr>
        <w:t>ó</w:t>
      </w:r>
      <w:r w:rsidRPr="00D13DB9">
        <w:rPr>
          <w:rStyle w:val="Nenhum"/>
          <w:rFonts w:ascii="Times New Roman" w:hAnsi="Times New Roman" w:cs="Times New Roman"/>
          <w:lang w:val="es-ES_tradnl"/>
        </w:rPr>
        <w:t xml:space="preserve"> </w:t>
      </w:r>
      <w:r w:rsidRPr="00D13DB9">
        <w:rPr>
          <w:rStyle w:val="Nenhum"/>
          <w:rFonts w:ascii="Times New Roman" w:hAnsi="Times New Roman" w:cs="Times New Roman"/>
        </w:rPr>
        <w:t>o trabalho escrito apresentado mas, também, o desempenho do aluno na arguição perante a Banca Examinadora.</w:t>
      </w:r>
    </w:p>
    <w:p w14:paraId="077E901E" w14:textId="77777777" w:rsidR="00DE533C" w:rsidRPr="00D13DB9" w:rsidRDefault="00DE533C" w:rsidP="00834DB6">
      <w:pPr>
        <w:pStyle w:val="Corpo"/>
        <w:tabs>
          <w:tab w:val="left" w:pos="720"/>
        </w:tabs>
        <w:spacing w:before="240" w:after="120"/>
        <w:jc w:val="both"/>
        <w:rPr>
          <w:rStyle w:val="Nenhum"/>
          <w:rFonts w:ascii="Times New Roman" w:hAnsi="Times New Roman" w:cs="Times New Roman"/>
          <w:b/>
        </w:rPr>
      </w:pPr>
      <w:r w:rsidRPr="00D13DB9">
        <w:rPr>
          <w:rStyle w:val="Nenhum"/>
          <w:rFonts w:ascii="Times New Roman" w:hAnsi="Times New Roman" w:cs="Times New Roman"/>
          <w:b/>
        </w:rPr>
        <w:t>4)</w:t>
      </w:r>
      <w:r w:rsidRPr="00D13DB9">
        <w:rPr>
          <w:rStyle w:val="Nenhum"/>
          <w:rFonts w:ascii="Times New Roman" w:hAnsi="Times New Roman" w:cs="Times New Roman"/>
          <w:b/>
        </w:rPr>
        <w:tab/>
        <w:t>Avaliação</w:t>
      </w:r>
    </w:p>
    <w:p w14:paraId="43C014B6" w14:textId="0B1262DE" w:rsidR="00C153B9" w:rsidRDefault="00DE533C" w:rsidP="00834DB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B9">
        <w:rPr>
          <w:rFonts w:ascii="Times New Roman" w:hAnsi="Times New Roman" w:cs="Times New Roman"/>
          <w:sz w:val="24"/>
          <w:szCs w:val="24"/>
        </w:rPr>
        <w:t xml:space="preserve">A nota final será obtida pela média ponderada dos seguintes critérios: </w:t>
      </w:r>
      <w:r w:rsidRPr="00D13DB9">
        <w:rPr>
          <w:rFonts w:ascii="Times New Roman" w:hAnsi="Times New Roman" w:cs="Times New Roman"/>
          <w:b/>
          <w:i/>
          <w:sz w:val="24"/>
          <w:szCs w:val="24"/>
        </w:rPr>
        <w:t>(i)</w:t>
      </w:r>
      <w:r w:rsidRPr="00D13DB9">
        <w:rPr>
          <w:rFonts w:ascii="Times New Roman" w:hAnsi="Times New Roman" w:cs="Times New Roman"/>
          <w:sz w:val="24"/>
          <w:szCs w:val="24"/>
        </w:rPr>
        <w:t xml:space="preserve"> nota do seminário (peso 2), </w:t>
      </w:r>
      <w:r w:rsidRPr="00D13DB9">
        <w:rPr>
          <w:rFonts w:ascii="Times New Roman" w:hAnsi="Times New Roman" w:cs="Times New Roman"/>
          <w:b/>
          <w:i/>
          <w:sz w:val="24"/>
          <w:szCs w:val="24"/>
        </w:rPr>
        <w:t>(ii)</w:t>
      </w:r>
      <w:r w:rsidRPr="00D13DB9">
        <w:rPr>
          <w:rFonts w:ascii="Times New Roman" w:hAnsi="Times New Roman" w:cs="Times New Roman"/>
          <w:sz w:val="24"/>
          <w:szCs w:val="24"/>
        </w:rPr>
        <w:t xml:space="preserve"> nota do trabalho escrito que será objeto de arguição em banca na última aula do curso (peso 2), e </w:t>
      </w:r>
      <w:r w:rsidRPr="00D13DB9">
        <w:rPr>
          <w:rFonts w:ascii="Times New Roman" w:hAnsi="Times New Roman" w:cs="Times New Roman"/>
          <w:b/>
          <w:i/>
          <w:sz w:val="24"/>
          <w:szCs w:val="24"/>
        </w:rPr>
        <w:t>(iii)</w:t>
      </w:r>
      <w:r w:rsidRPr="00D13DB9">
        <w:rPr>
          <w:rFonts w:ascii="Times New Roman" w:hAnsi="Times New Roman" w:cs="Times New Roman"/>
          <w:sz w:val="24"/>
          <w:szCs w:val="24"/>
        </w:rPr>
        <w:t xml:space="preserve"> nota de participação nas aulas e nos seminários (peso 1).</w:t>
      </w:r>
    </w:p>
    <w:p w14:paraId="5B67A1DC" w14:textId="77777777" w:rsidR="00C311D2" w:rsidRPr="00D13DB9" w:rsidRDefault="00C311D2" w:rsidP="00834DB6">
      <w:pPr>
        <w:tabs>
          <w:tab w:val="left" w:pos="72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1D2" w:rsidRPr="00D13DB9" w:rsidSect="00B43BAA">
      <w:footerReference w:type="default" r:id="rId2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C948" w14:textId="77777777" w:rsidR="007D11C0" w:rsidRDefault="007D11C0" w:rsidP="006214A4">
      <w:pPr>
        <w:spacing w:after="0" w:line="240" w:lineRule="auto"/>
      </w:pPr>
      <w:r>
        <w:separator/>
      </w:r>
    </w:p>
  </w:endnote>
  <w:endnote w:type="continuationSeparator" w:id="0">
    <w:p w14:paraId="67A2F23F" w14:textId="77777777" w:rsidR="007D11C0" w:rsidRDefault="007D11C0" w:rsidP="006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D3EA" w14:textId="1DABF8BC" w:rsidR="00C153B9" w:rsidRPr="006214A4" w:rsidRDefault="00C153B9" w:rsidP="006214A4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6214A4">
      <w:rPr>
        <w:rFonts w:ascii="Times New Roman" w:hAnsi="Times New Roman" w:cs="Times New Roman"/>
        <w:sz w:val="24"/>
        <w:szCs w:val="24"/>
      </w:rPr>
      <w:fldChar w:fldCharType="begin"/>
    </w:r>
    <w:r w:rsidRPr="006214A4"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 w:rsidRPr="006214A4">
      <w:rPr>
        <w:rFonts w:ascii="Times New Roman" w:hAnsi="Times New Roman" w:cs="Times New Roman"/>
        <w:sz w:val="24"/>
        <w:szCs w:val="24"/>
      </w:rPr>
      <w:fldChar w:fldCharType="separate"/>
    </w:r>
    <w:r w:rsidRPr="006214A4">
      <w:rPr>
        <w:rFonts w:ascii="Times New Roman" w:hAnsi="Times New Roman" w:cs="Times New Roman"/>
        <w:noProof/>
        <w:sz w:val="24"/>
        <w:szCs w:val="24"/>
      </w:rPr>
      <w:t>1</w:t>
    </w:r>
    <w:r w:rsidRPr="006214A4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B57A" w14:textId="77777777" w:rsidR="007D11C0" w:rsidRDefault="007D11C0" w:rsidP="006214A4">
      <w:pPr>
        <w:spacing w:after="0" w:line="240" w:lineRule="auto"/>
      </w:pPr>
      <w:r>
        <w:separator/>
      </w:r>
    </w:p>
  </w:footnote>
  <w:footnote w:type="continuationSeparator" w:id="0">
    <w:p w14:paraId="0569C9D2" w14:textId="77777777" w:rsidR="007D11C0" w:rsidRDefault="007D11C0" w:rsidP="0062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17707"/>
    <w:multiLevelType w:val="hybridMultilevel"/>
    <w:tmpl w:val="43D6D868"/>
    <w:lvl w:ilvl="0" w:tplc="41D4F4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A4"/>
    <w:rsid w:val="000271B1"/>
    <w:rsid w:val="00055D98"/>
    <w:rsid w:val="00073BB1"/>
    <w:rsid w:val="00073CEC"/>
    <w:rsid w:val="001469FF"/>
    <w:rsid w:val="0020471F"/>
    <w:rsid w:val="002215E2"/>
    <w:rsid w:val="0027060A"/>
    <w:rsid w:val="002C2610"/>
    <w:rsid w:val="00303AE5"/>
    <w:rsid w:val="00325E54"/>
    <w:rsid w:val="003408C3"/>
    <w:rsid w:val="0035008F"/>
    <w:rsid w:val="00364DB8"/>
    <w:rsid w:val="00404B13"/>
    <w:rsid w:val="00431049"/>
    <w:rsid w:val="00445CF0"/>
    <w:rsid w:val="00470A39"/>
    <w:rsid w:val="00517029"/>
    <w:rsid w:val="00575D27"/>
    <w:rsid w:val="005B20EB"/>
    <w:rsid w:val="005B29D8"/>
    <w:rsid w:val="005F639F"/>
    <w:rsid w:val="006214A4"/>
    <w:rsid w:val="00677ED0"/>
    <w:rsid w:val="006C6374"/>
    <w:rsid w:val="007430AD"/>
    <w:rsid w:val="007477F0"/>
    <w:rsid w:val="00782323"/>
    <w:rsid w:val="007C734F"/>
    <w:rsid w:val="007D11C0"/>
    <w:rsid w:val="00802AB0"/>
    <w:rsid w:val="00834DB6"/>
    <w:rsid w:val="00870D2E"/>
    <w:rsid w:val="008A585F"/>
    <w:rsid w:val="008C1196"/>
    <w:rsid w:val="008D6DE2"/>
    <w:rsid w:val="008E6598"/>
    <w:rsid w:val="008F02C3"/>
    <w:rsid w:val="00924E13"/>
    <w:rsid w:val="00933CA1"/>
    <w:rsid w:val="009669D5"/>
    <w:rsid w:val="00987A84"/>
    <w:rsid w:val="00A34602"/>
    <w:rsid w:val="00A963F3"/>
    <w:rsid w:val="00AA5A5A"/>
    <w:rsid w:val="00AB5234"/>
    <w:rsid w:val="00B43BAA"/>
    <w:rsid w:val="00B6767F"/>
    <w:rsid w:val="00B91026"/>
    <w:rsid w:val="00BF6657"/>
    <w:rsid w:val="00C0585F"/>
    <w:rsid w:val="00C153B9"/>
    <w:rsid w:val="00C27584"/>
    <w:rsid w:val="00C311D2"/>
    <w:rsid w:val="00C44433"/>
    <w:rsid w:val="00C8417F"/>
    <w:rsid w:val="00D06698"/>
    <w:rsid w:val="00D13DB9"/>
    <w:rsid w:val="00D833FB"/>
    <w:rsid w:val="00DA001C"/>
    <w:rsid w:val="00DA5DDB"/>
    <w:rsid w:val="00DE533C"/>
    <w:rsid w:val="00E423DC"/>
    <w:rsid w:val="00E821E1"/>
    <w:rsid w:val="00E85DDC"/>
    <w:rsid w:val="00EE53B6"/>
    <w:rsid w:val="00F31F7F"/>
    <w:rsid w:val="00F34462"/>
    <w:rsid w:val="00FA4AEA"/>
    <w:rsid w:val="00FC19BA"/>
    <w:rsid w:val="00FC5ACC"/>
    <w:rsid w:val="00F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AEE16D"/>
  <w15:chartTrackingRefBased/>
  <w15:docId w15:val="{4A566CA0-F63E-42FF-B7FB-25AABA9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4A4"/>
  </w:style>
  <w:style w:type="paragraph" w:styleId="Footer">
    <w:name w:val="footer"/>
    <w:basedOn w:val="Normal"/>
    <w:link w:val="FooterChar"/>
    <w:uiPriority w:val="99"/>
    <w:unhideWhenUsed/>
    <w:rsid w:val="006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4A4"/>
  </w:style>
  <w:style w:type="table" w:styleId="TableGrid">
    <w:name w:val="Table Grid"/>
    <w:basedOn w:val="TableNormal"/>
    <w:uiPriority w:val="39"/>
    <w:rsid w:val="00B9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AA"/>
    <w:rPr>
      <w:color w:val="605E5C"/>
      <w:shd w:val="clear" w:color="auto" w:fill="E1DFDD"/>
    </w:rPr>
  </w:style>
  <w:style w:type="paragraph" w:customStyle="1" w:styleId="Corpo">
    <w:name w:val="Corpo"/>
    <w:rsid w:val="00DE53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PT" w:eastAsia="pt-BR"/>
    </w:rPr>
  </w:style>
  <w:style w:type="character" w:customStyle="1" w:styleId="Nenhum">
    <w:name w:val="Nenhum"/>
    <w:rsid w:val="00DE533C"/>
  </w:style>
  <w:style w:type="character" w:customStyle="1" w:styleId="Hyperlink0">
    <w:name w:val="Hyperlink.0"/>
    <w:basedOn w:val="Nenhum"/>
    <w:rsid w:val="00DE533C"/>
    <w:rPr>
      <w:lang w:val="pt-PT"/>
    </w:rPr>
  </w:style>
  <w:style w:type="paragraph" w:styleId="ListParagraph">
    <w:name w:val="List Paragraph"/>
    <w:basedOn w:val="Normal"/>
    <w:uiPriority w:val="34"/>
    <w:qFormat/>
    <w:rsid w:val="003408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23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977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genjuridico.com.br/2017/04/17/ncpc-atipicidade-medidas-executivas/" TargetMode="External"/><Relationship Id="rId18" Type="http://schemas.openxmlformats.org/officeDocument/2006/relationships/hyperlink" Target="https://www.migalhas.com.br/coluna/cpc-na-pratica/292018/a-fixacao-de-honorarios-advocaticios-em-face-das-decisoes-parciais-de-merit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dolfo.amadeo@lhoc.com.br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biblio.liuc.it/scripts/essper/ricerca.asp?tipo=fascicolo&amp;codice=12692006$131$$$$2" TargetMode="External"/><Relationship Id="rId17" Type="http://schemas.openxmlformats.org/officeDocument/2006/relationships/hyperlink" Target="https://migalhas.uol.com.br/coluna/tendencias-do-processo-civil/339030/como-ter-um-processo-sem-honorarios-sucumbencia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mara.leg.br/proposicoesWeb/prop_mostrarintegra?codteor=1927512" TargetMode="External"/><Relationship Id="rId20" Type="http://schemas.openxmlformats.org/officeDocument/2006/relationships/hyperlink" Target="mailto:w.pivarodrigues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evistas.ufpr.br/direito/article/view/7191/5146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amara.leg.br/proposicoesWeb/prop_mostrarintegra?codteor=19335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evistas.ufpr.br/direito/article/view/7191/5146" TargetMode="External"/><Relationship Id="rId19" Type="http://schemas.openxmlformats.org/officeDocument/2006/relationships/hyperlink" Target="http://www.abdpc.org.br/abdpc/artigos/araken%20de%20assis(4)%20-%20formatad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globalclassactions.stanford.edu/sites/default/files/documents/Germany_National_Report.pd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0C1F18297E440A85D86B6B2B7E6E4" ma:contentTypeVersion="11" ma:contentTypeDescription="Create a new document." ma:contentTypeScope="" ma:versionID="b0fc0b87fb72b46198bb350601a5bab5">
  <xsd:schema xmlns:xsd="http://www.w3.org/2001/XMLSchema" xmlns:xs="http://www.w3.org/2001/XMLSchema" xmlns:p="http://schemas.microsoft.com/office/2006/metadata/properties" xmlns:ns3="c23a33b7-f2a3-4885-9a88-055a8d54dbf3" xmlns:ns4="72e68212-21d0-4f00-b289-c70cb3d96e21" targetNamespace="http://schemas.microsoft.com/office/2006/metadata/properties" ma:root="true" ma:fieldsID="49fa3dc11a916f58fd1c822193fa22e0" ns3:_="" ns4:_="">
    <xsd:import namespace="c23a33b7-f2a3-4885-9a88-055a8d54dbf3"/>
    <xsd:import namespace="72e68212-21d0-4f00-b289-c70cb3d96e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a33b7-f2a3-4885-9a88-055a8d54d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68212-21d0-4f00-b289-c70cb3d96e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41203-E82F-4CAC-B9B6-3723B3F9F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3a33b7-f2a3-4885-9a88-055a8d54dbf3"/>
    <ds:schemaRef ds:uri="72e68212-21d0-4f00-b289-c70cb3d9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85E31-6B63-4C25-8412-F470BAB6E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F8B51-B615-4BD0-AAD5-92B93D82EF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4502</Words>
  <Characters>25667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Bueno</dc:creator>
  <cp:keywords/>
  <dc:description/>
  <cp:lastModifiedBy>Rodolfo Amadeo</cp:lastModifiedBy>
  <cp:revision>4</cp:revision>
  <dcterms:created xsi:type="dcterms:W3CDTF">2023-01-02T23:34:00Z</dcterms:created>
  <dcterms:modified xsi:type="dcterms:W3CDTF">2023-01-03T00:44:00Z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0x01010008F0C1F18297E440A85D86B6B2B7E6E4</vt:lpwstr>
  </property>
</Properties>
</file>