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581" w:rsidRDefault="00245EB0" w:rsidP="00245EB0">
      <w:pPr>
        <w:ind w:left="36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P</w:t>
      </w:r>
      <w:r w:rsidR="00DD5768" w:rsidRPr="007233EE">
        <w:rPr>
          <w:rFonts w:ascii="Arial" w:hAnsi="Arial" w:cs="Arial"/>
        </w:rPr>
        <w:t xml:space="preserve">rincípios de sustentabilidade propostos por Gibson et al (2005) </w:t>
      </w:r>
    </w:p>
    <w:tbl>
      <w:tblPr>
        <w:tblStyle w:val="Tabelacomgrade"/>
        <w:tblW w:w="0" w:type="auto"/>
        <w:tblLook w:val="04A0"/>
      </w:tblPr>
      <w:tblGrid>
        <w:gridCol w:w="5353"/>
        <w:gridCol w:w="4533"/>
      </w:tblGrid>
      <w:tr w:rsidR="0035676C" w:rsidTr="001F333F">
        <w:tc>
          <w:tcPr>
            <w:tcW w:w="5353" w:type="dxa"/>
          </w:tcPr>
          <w:p w:rsidR="0035676C" w:rsidRPr="005A4CD0" w:rsidRDefault="0035676C" w:rsidP="0035676C">
            <w:pPr>
              <w:rPr>
                <w:rFonts w:ascii="Arial" w:hAnsi="Arial" w:cs="Arial"/>
                <w:b/>
                <w:sz w:val="20"/>
              </w:rPr>
            </w:pPr>
            <w:r w:rsidRPr="005A4CD0">
              <w:rPr>
                <w:rFonts w:ascii="Arial" w:hAnsi="Arial" w:cs="Arial"/>
                <w:b/>
                <w:sz w:val="20"/>
              </w:rPr>
              <w:t>Integridade do sistema socioecológico</w:t>
            </w:r>
          </w:p>
          <w:p w:rsidR="0035676C" w:rsidRPr="005A4CD0" w:rsidRDefault="0035676C" w:rsidP="0035676C">
            <w:pPr>
              <w:rPr>
                <w:rFonts w:ascii="Arial" w:hAnsi="Arial" w:cs="Arial"/>
                <w:sz w:val="20"/>
              </w:rPr>
            </w:pPr>
            <w:r w:rsidRPr="005A4CD0">
              <w:rPr>
                <w:rFonts w:ascii="Arial" w:hAnsi="Arial" w:cs="Arial"/>
                <w:sz w:val="20"/>
              </w:rPr>
              <w:t>Construir relações sociedade-ambiente que estabeleçam e mantenham a integridade dos sistemas socioambientais em longo prazo, e protejam as funções ecológicas que são insubstituíveis e das quais dependem a vida humana e a qualidade ambiental.</w:t>
            </w:r>
          </w:p>
          <w:p w:rsidR="0035676C" w:rsidRPr="005A4CD0" w:rsidRDefault="0035676C" w:rsidP="0035676C">
            <w:pPr>
              <w:rPr>
                <w:rFonts w:ascii="Arial" w:hAnsi="Arial" w:cs="Arial"/>
                <w:sz w:val="20"/>
              </w:rPr>
            </w:pPr>
          </w:p>
          <w:p w:rsidR="0035676C" w:rsidRPr="005A4CD0" w:rsidRDefault="0035676C" w:rsidP="0035676C">
            <w:pPr>
              <w:rPr>
                <w:rFonts w:ascii="Arial" w:hAnsi="Arial" w:cs="Arial"/>
                <w:b/>
                <w:sz w:val="20"/>
              </w:rPr>
            </w:pPr>
            <w:r w:rsidRPr="005A4CD0">
              <w:rPr>
                <w:rFonts w:ascii="Arial" w:hAnsi="Arial" w:cs="Arial"/>
                <w:b/>
                <w:sz w:val="20"/>
              </w:rPr>
              <w:t>Recursos suficientes para subsistência e acesso a oportunidades</w:t>
            </w:r>
          </w:p>
          <w:p w:rsidR="0035676C" w:rsidRPr="005A4CD0" w:rsidRDefault="0035676C" w:rsidP="0035676C">
            <w:pPr>
              <w:rPr>
                <w:rFonts w:ascii="Arial" w:hAnsi="Arial" w:cs="Arial"/>
                <w:sz w:val="20"/>
              </w:rPr>
            </w:pPr>
            <w:r w:rsidRPr="005A4CD0">
              <w:rPr>
                <w:rFonts w:ascii="Arial" w:hAnsi="Arial" w:cs="Arial"/>
                <w:sz w:val="20"/>
              </w:rPr>
              <w:t>Garantir que cada indivíduo e cada comunidade tenham sustento suficiente para uma vida digna e que todos tenham oportunidade de buscar melhorias de forma a não comprometer a capacidade de sustento das gerações futuras.</w:t>
            </w:r>
          </w:p>
          <w:p w:rsidR="0035676C" w:rsidRPr="005A4CD0" w:rsidRDefault="0035676C" w:rsidP="0035676C">
            <w:pPr>
              <w:rPr>
                <w:rFonts w:ascii="Arial" w:hAnsi="Arial" w:cs="Arial"/>
                <w:sz w:val="20"/>
              </w:rPr>
            </w:pPr>
          </w:p>
          <w:p w:rsidR="0035676C" w:rsidRPr="005A4CD0" w:rsidRDefault="0035676C" w:rsidP="0035676C">
            <w:pPr>
              <w:rPr>
                <w:rFonts w:ascii="Arial" w:hAnsi="Arial" w:cs="Arial"/>
                <w:b/>
                <w:sz w:val="20"/>
              </w:rPr>
            </w:pPr>
            <w:r w:rsidRPr="005A4CD0">
              <w:rPr>
                <w:rFonts w:ascii="Arial" w:hAnsi="Arial" w:cs="Arial"/>
                <w:b/>
                <w:sz w:val="20"/>
              </w:rPr>
              <w:t>Equidade intrageracional</w:t>
            </w:r>
          </w:p>
          <w:p w:rsidR="0035676C" w:rsidRPr="005A4CD0" w:rsidRDefault="0035676C" w:rsidP="0035676C">
            <w:pPr>
              <w:rPr>
                <w:rFonts w:ascii="Arial" w:hAnsi="Arial" w:cs="Arial"/>
                <w:sz w:val="20"/>
              </w:rPr>
            </w:pPr>
            <w:r w:rsidRPr="005A4CD0">
              <w:rPr>
                <w:rFonts w:ascii="Arial" w:hAnsi="Arial" w:cs="Arial"/>
                <w:sz w:val="20"/>
              </w:rPr>
              <w:t>Garantir que suficiência e oportunidade de escolha estão sendo buscadas para todos de modo a reduzir lacunas entre os ricos e pobres (de saúde, segurança, reconhecimento social, influência política, etc.).</w:t>
            </w:r>
          </w:p>
          <w:p w:rsidR="0035676C" w:rsidRPr="005A4CD0" w:rsidRDefault="0035676C" w:rsidP="0035676C">
            <w:pPr>
              <w:rPr>
                <w:rFonts w:ascii="Arial" w:hAnsi="Arial" w:cs="Arial"/>
                <w:sz w:val="20"/>
              </w:rPr>
            </w:pPr>
          </w:p>
          <w:p w:rsidR="0035676C" w:rsidRPr="005A4CD0" w:rsidRDefault="0035676C" w:rsidP="0035676C">
            <w:pPr>
              <w:rPr>
                <w:rFonts w:ascii="Arial" w:hAnsi="Arial" w:cs="Arial"/>
                <w:b/>
                <w:sz w:val="20"/>
              </w:rPr>
            </w:pPr>
            <w:r w:rsidRPr="005A4CD0">
              <w:rPr>
                <w:rFonts w:ascii="Arial" w:hAnsi="Arial" w:cs="Arial"/>
                <w:b/>
                <w:sz w:val="20"/>
              </w:rPr>
              <w:t>Equidade intergeracional</w:t>
            </w:r>
          </w:p>
          <w:p w:rsidR="0035676C" w:rsidRPr="005A4CD0" w:rsidRDefault="0035676C" w:rsidP="0035676C">
            <w:pPr>
              <w:rPr>
                <w:rFonts w:ascii="Arial" w:hAnsi="Arial" w:cs="Arial"/>
                <w:sz w:val="20"/>
              </w:rPr>
            </w:pPr>
            <w:r w:rsidRPr="005A4CD0">
              <w:rPr>
                <w:rFonts w:ascii="Arial" w:hAnsi="Arial" w:cs="Arial"/>
                <w:sz w:val="20"/>
              </w:rPr>
              <w:t>Favorecer opções e ações no presente que são mais passíveis de manter ou aumentar as oportunidades e capacidades das gerações futuras a viver sustentavelmente.</w:t>
            </w:r>
          </w:p>
          <w:p w:rsidR="0035676C" w:rsidRPr="005A4CD0" w:rsidRDefault="0035676C" w:rsidP="0035676C">
            <w:pPr>
              <w:rPr>
                <w:rFonts w:ascii="Arial" w:hAnsi="Arial" w:cs="Arial"/>
                <w:sz w:val="20"/>
              </w:rPr>
            </w:pPr>
          </w:p>
          <w:p w:rsidR="0035676C" w:rsidRPr="005A4CD0" w:rsidRDefault="0035676C" w:rsidP="0035676C">
            <w:pPr>
              <w:rPr>
                <w:rFonts w:ascii="Arial" w:hAnsi="Arial" w:cs="Arial"/>
                <w:b/>
                <w:sz w:val="20"/>
              </w:rPr>
            </w:pPr>
            <w:r w:rsidRPr="005A4CD0">
              <w:rPr>
                <w:rFonts w:ascii="Arial" w:hAnsi="Arial" w:cs="Arial"/>
                <w:b/>
                <w:sz w:val="20"/>
              </w:rPr>
              <w:t>Manutenção de recursos naturais e eficiência</w:t>
            </w:r>
          </w:p>
          <w:p w:rsidR="0035676C" w:rsidRPr="005A4CD0" w:rsidRDefault="0035676C" w:rsidP="0035676C">
            <w:pPr>
              <w:rPr>
                <w:rFonts w:ascii="Arial" w:hAnsi="Arial" w:cs="Arial"/>
                <w:sz w:val="20"/>
              </w:rPr>
            </w:pPr>
            <w:r w:rsidRPr="005A4CD0">
              <w:rPr>
                <w:rFonts w:ascii="Arial" w:hAnsi="Arial" w:cs="Arial"/>
                <w:sz w:val="20"/>
              </w:rPr>
              <w:t>Proporcionar uma base maior para garantir meios de subsistência sustentáveis para todos, enquanto reduz ameaças em longo prazo para a integridade de sistemas socioambientais, evitando resíduos e reduzindo o consumo de matéria e energia.</w:t>
            </w:r>
          </w:p>
          <w:p w:rsidR="0035676C" w:rsidRPr="005A4CD0" w:rsidRDefault="0035676C" w:rsidP="0035676C">
            <w:pPr>
              <w:rPr>
                <w:rFonts w:ascii="Arial" w:hAnsi="Arial" w:cs="Arial"/>
                <w:sz w:val="20"/>
              </w:rPr>
            </w:pPr>
          </w:p>
          <w:p w:rsidR="0035676C" w:rsidRPr="005A4CD0" w:rsidRDefault="0035676C" w:rsidP="0035676C">
            <w:pPr>
              <w:rPr>
                <w:rFonts w:ascii="Arial" w:hAnsi="Arial" w:cs="Arial"/>
                <w:b/>
                <w:sz w:val="20"/>
              </w:rPr>
            </w:pPr>
            <w:r w:rsidRPr="005A4CD0">
              <w:rPr>
                <w:rFonts w:ascii="Arial" w:hAnsi="Arial" w:cs="Arial"/>
                <w:b/>
                <w:sz w:val="20"/>
              </w:rPr>
              <w:t>Civilidade socioambiental e governança democrática</w:t>
            </w:r>
          </w:p>
          <w:p w:rsidR="0035676C" w:rsidRPr="005A4CD0" w:rsidRDefault="0035676C" w:rsidP="0035676C">
            <w:pPr>
              <w:rPr>
                <w:rFonts w:ascii="Arial" w:hAnsi="Arial" w:cs="Arial"/>
                <w:sz w:val="20"/>
              </w:rPr>
            </w:pPr>
            <w:r w:rsidRPr="005A4CD0">
              <w:rPr>
                <w:rFonts w:ascii="Arial" w:hAnsi="Arial" w:cs="Arial"/>
                <w:sz w:val="20"/>
              </w:rPr>
              <w:t>Criar capacidade, motivação e inclinação em indivíduos, comunidades e outros órgãos de decisão a aplicar requisitos de sustentabilidade, por meio de decisões mais abertas e baseadas em boas informações, de estímulos à conscientização mútua e à responsabilidade coletiva, e do emprego de práticas mais integradas em decisões administrativas, de mercado e pessoais.</w:t>
            </w:r>
          </w:p>
          <w:p w:rsidR="0035676C" w:rsidRPr="005A4CD0" w:rsidRDefault="0035676C" w:rsidP="0035676C">
            <w:pPr>
              <w:rPr>
                <w:rFonts w:ascii="Arial" w:hAnsi="Arial" w:cs="Arial"/>
                <w:sz w:val="20"/>
              </w:rPr>
            </w:pPr>
          </w:p>
          <w:p w:rsidR="0035676C" w:rsidRPr="005A4CD0" w:rsidRDefault="0035676C" w:rsidP="0035676C">
            <w:pPr>
              <w:rPr>
                <w:rFonts w:ascii="Arial" w:hAnsi="Arial" w:cs="Arial"/>
                <w:b/>
                <w:sz w:val="20"/>
              </w:rPr>
            </w:pPr>
            <w:r w:rsidRPr="005A4CD0">
              <w:rPr>
                <w:rFonts w:ascii="Arial" w:hAnsi="Arial" w:cs="Arial"/>
                <w:b/>
                <w:sz w:val="20"/>
              </w:rPr>
              <w:t>Precaução e adaptação</w:t>
            </w:r>
          </w:p>
          <w:p w:rsidR="0035676C" w:rsidRPr="005A4CD0" w:rsidRDefault="0035676C" w:rsidP="0035676C">
            <w:pPr>
              <w:rPr>
                <w:rFonts w:ascii="Arial" w:hAnsi="Arial" w:cs="Arial"/>
                <w:sz w:val="20"/>
              </w:rPr>
            </w:pPr>
            <w:r w:rsidRPr="005A4CD0">
              <w:rPr>
                <w:rFonts w:ascii="Arial" w:hAnsi="Arial" w:cs="Arial"/>
                <w:sz w:val="20"/>
              </w:rPr>
              <w:t>Respeitar incertezas, evitar os riscos de danos graves ou irreversíveis, para os fundamentos da sustentabilidade, mesmo que sejam pouco compreendidos. Planejamento deve ser voltado à aprendizagem, deve haver preparo para situações de surpresas, e desenvolver gestão adaptativa.</w:t>
            </w:r>
          </w:p>
          <w:p w:rsidR="0035676C" w:rsidRPr="005A4CD0" w:rsidRDefault="0035676C" w:rsidP="0035676C">
            <w:pPr>
              <w:rPr>
                <w:rFonts w:ascii="Arial" w:hAnsi="Arial" w:cs="Arial"/>
                <w:sz w:val="20"/>
              </w:rPr>
            </w:pPr>
          </w:p>
          <w:p w:rsidR="0035676C" w:rsidRPr="005A4CD0" w:rsidRDefault="0035676C" w:rsidP="0035676C">
            <w:pPr>
              <w:rPr>
                <w:rFonts w:ascii="Arial" w:hAnsi="Arial" w:cs="Arial"/>
                <w:b/>
                <w:sz w:val="20"/>
              </w:rPr>
            </w:pPr>
            <w:r w:rsidRPr="005A4CD0">
              <w:rPr>
                <w:rFonts w:ascii="Arial" w:hAnsi="Arial" w:cs="Arial"/>
                <w:b/>
                <w:sz w:val="20"/>
              </w:rPr>
              <w:t>Integração entre situação atual e de longo prazo</w:t>
            </w:r>
          </w:p>
          <w:p w:rsidR="0035676C" w:rsidRPr="005A4CD0" w:rsidRDefault="0035676C" w:rsidP="0035676C">
            <w:pPr>
              <w:rPr>
                <w:rFonts w:ascii="Arial" w:hAnsi="Arial" w:cs="Arial"/>
                <w:sz w:val="20"/>
              </w:rPr>
            </w:pPr>
            <w:r w:rsidRPr="005A4CD0">
              <w:rPr>
                <w:rFonts w:ascii="Arial" w:hAnsi="Arial" w:cs="Arial"/>
                <w:sz w:val="20"/>
              </w:rPr>
              <w:t>Aplicar todos os princípios de sustentabilidade ao mesmo tempo, buscando benefícios mútuos e ganhos múltiplos.</w:t>
            </w:r>
          </w:p>
        </w:tc>
        <w:tc>
          <w:tcPr>
            <w:tcW w:w="4533" w:type="dxa"/>
          </w:tcPr>
          <w:p w:rsidR="0035676C" w:rsidRDefault="0035676C" w:rsidP="007233EE">
            <w:pPr>
              <w:rPr>
                <w:rFonts w:ascii="Arial" w:hAnsi="Arial" w:cs="Arial"/>
              </w:rPr>
            </w:pPr>
          </w:p>
        </w:tc>
      </w:tr>
    </w:tbl>
    <w:p w:rsidR="007233EE" w:rsidRPr="007233EE" w:rsidRDefault="007233EE" w:rsidP="007233EE">
      <w:pPr>
        <w:rPr>
          <w:rFonts w:ascii="Arial" w:hAnsi="Arial" w:cs="Arial"/>
        </w:rPr>
      </w:pPr>
    </w:p>
    <w:p w:rsidR="00097BB5" w:rsidRPr="00097BB5" w:rsidRDefault="00097BB5" w:rsidP="00097BB5"/>
    <w:sectPr w:rsidR="00097BB5" w:rsidRPr="00097BB5" w:rsidSect="005A4CD0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2B96" w:rsidRDefault="00D02B96" w:rsidP="00D77BB5">
      <w:pPr>
        <w:spacing w:after="0" w:line="240" w:lineRule="auto"/>
      </w:pPr>
      <w:r>
        <w:separator/>
      </w:r>
    </w:p>
  </w:endnote>
  <w:endnote w:type="continuationSeparator" w:id="1">
    <w:p w:rsidR="00D02B96" w:rsidRDefault="00D02B96" w:rsidP="00D77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2B96" w:rsidRDefault="00D02B96" w:rsidP="00D77BB5">
      <w:pPr>
        <w:spacing w:after="0" w:line="240" w:lineRule="auto"/>
      </w:pPr>
      <w:r>
        <w:separator/>
      </w:r>
    </w:p>
  </w:footnote>
  <w:footnote w:type="continuationSeparator" w:id="1">
    <w:p w:rsidR="00D02B96" w:rsidRDefault="00D02B96" w:rsidP="00D77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26D" w:rsidRDefault="009C126D" w:rsidP="00D77BB5">
    <w:pPr>
      <w:pStyle w:val="Cabealho"/>
      <w:jc w:val="center"/>
      <w:rPr>
        <w:sz w:val="20"/>
      </w:rPr>
    </w:pPr>
    <w:r w:rsidRPr="009C126D">
      <w:rPr>
        <w:sz w:val="20"/>
      </w:rPr>
      <w:t xml:space="preserve"> “</w:t>
    </w:r>
    <w:r w:rsidRPr="009C126D">
      <w:rPr>
        <w:b/>
        <w:bCs/>
        <w:sz w:val="20"/>
      </w:rPr>
      <w:t>Avaliação de Sustentabilidade para o contexto do etanol de cana-de-açúcar no Estado de São Paulo</w:t>
    </w:r>
    <w:r w:rsidRPr="009C126D">
      <w:rPr>
        <w:sz w:val="20"/>
      </w:rPr>
      <w:t>”</w:t>
    </w:r>
  </w:p>
  <w:p w:rsidR="00D77BB5" w:rsidRPr="009C126D" w:rsidRDefault="00D77BB5" w:rsidP="00D77BB5">
    <w:pPr>
      <w:pStyle w:val="Cabealho"/>
      <w:jc w:val="center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66A26"/>
    <w:multiLevelType w:val="hybridMultilevel"/>
    <w:tmpl w:val="D00A9944"/>
    <w:lvl w:ilvl="0" w:tplc="3EC458C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D3828"/>
    <w:multiLevelType w:val="hybridMultilevel"/>
    <w:tmpl w:val="1C7E7D44"/>
    <w:lvl w:ilvl="0" w:tplc="5CE2E49E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3D1DBD"/>
    <w:multiLevelType w:val="hybridMultilevel"/>
    <w:tmpl w:val="7654DC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5760F"/>
    <w:multiLevelType w:val="hybridMultilevel"/>
    <w:tmpl w:val="C64C0716"/>
    <w:lvl w:ilvl="0" w:tplc="267A92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7A12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6009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42A2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3A69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1C97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D68F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12C0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F277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2FD6FE9"/>
    <w:multiLevelType w:val="hybridMultilevel"/>
    <w:tmpl w:val="2AA0A562"/>
    <w:lvl w:ilvl="0" w:tplc="3EC458C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513ED8"/>
    <w:multiLevelType w:val="hybridMultilevel"/>
    <w:tmpl w:val="269EF86A"/>
    <w:lvl w:ilvl="0" w:tplc="A3B499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C458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D4C2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E43B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10A1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96861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4A58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5ECB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606D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74088D"/>
    <w:multiLevelType w:val="hybridMultilevel"/>
    <w:tmpl w:val="7654DC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0C4162"/>
    <w:multiLevelType w:val="hybridMultilevel"/>
    <w:tmpl w:val="D89EE4B6"/>
    <w:lvl w:ilvl="0" w:tplc="3FC4CCFE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2F7C1B"/>
    <w:multiLevelType w:val="hybridMultilevel"/>
    <w:tmpl w:val="DD98C336"/>
    <w:lvl w:ilvl="0" w:tplc="81B8FCD8">
      <w:start w:val="1"/>
      <w:numFmt w:val="decimal"/>
      <w:pStyle w:val="Ttulo1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EF6972"/>
    <w:multiLevelType w:val="hybridMultilevel"/>
    <w:tmpl w:val="29BC988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466791"/>
    <w:multiLevelType w:val="hybridMultilevel"/>
    <w:tmpl w:val="EC4E08E6"/>
    <w:lvl w:ilvl="0" w:tplc="BBA072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FECE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A015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6CB2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B0F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E87F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CA14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5C17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F297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FAB37E7"/>
    <w:multiLevelType w:val="hybridMultilevel"/>
    <w:tmpl w:val="9DECD3B8"/>
    <w:lvl w:ilvl="0" w:tplc="BCB2AC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7CB3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8066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9204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4050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DC8B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788B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DED1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C1A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3FA7CC7"/>
    <w:multiLevelType w:val="hybridMultilevel"/>
    <w:tmpl w:val="623AEB04"/>
    <w:lvl w:ilvl="0" w:tplc="77325E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3415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E8EC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AA88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FCB8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281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006B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0665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E0CE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75737F4E"/>
    <w:multiLevelType w:val="hybridMultilevel"/>
    <w:tmpl w:val="D00A9944"/>
    <w:lvl w:ilvl="0" w:tplc="3EC458C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AF17F9"/>
    <w:multiLevelType w:val="hybridMultilevel"/>
    <w:tmpl w:val="A494522E"/>
    <w:lvl w:ilvl="0" w:tplc="431E4E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86AD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363A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8233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E26D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E279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00A4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E0DE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FC1A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D410799"/>
    <w:multiLevelType w:val="hybridMultilevel"/>
    <w:tmpl w:val="441676F0"/>
    <w:lvl w:ilvl="0" w:tplc="7B16A1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889F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36E3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92EB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F4E8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A0F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B63C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44C9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DAFF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7E6C3824"/>
    <w:multiLevelType w:val="hybridMultilevel"/>
    <w:tmpl w:val="08E6BEFE"/>
    <w:lvl w:ilvl="0" w:tplc="AF5620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243C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34F1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EC0C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EAD8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BA9F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8287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64BF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AE73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4"/>
  </w:num>
  <w:num w:numId="3">
    <w:abstractNumId w:val="13"/>
  </w:num>
  <w:num w:numId="4">
    <w:abstractNumId w:val="15"/>
  </w:num>
  <w:num w:numId="5">
    <w:abstractNumId w:val="12"/>
  </w:num>
  <w:num w:numId="6">
    <w:abstractNumId w:val="14"/>
  </w:num>
  <w:num w:numId="7">
    <w:abstractNumId w:val="16"/>
  </w:num>
  <w:num w:numId="8">
    <w:abstractNumId w:val="3"/>
  </w:num>
  <w:num w:numId="9">
    <w:abstractNumId w:val="10"/>
  </w:num>
  <w:num w:numId="10">
    <w:abstractNumId w:val="8"/>
  </w:num>
  <w:num w:numId="11">
    <w:abstractNumId w:val="0"/>
  </w:num>
  <w:num w:numId="12">
    <w:abstractNumId w:val="2"/>
  </w:num>
  <w:num w:numId="13">
    <w:abstractNumId w:val="9"/>
  </w:num>
  <w:num w:numId="14">
    <w:abstractNumId w:val="7"/>
  </w:num>
  <w:num w:numId="15">
    <w:abstractNumId w:val="1"/>
  </w:num>
  <w:num w:numId="16">
    <w:abstractNumId w:val="6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6E77"/>
    <w:rsid w:val="00097BB5"/>
    <w:rsid w:val="001852A7"/>
    <w:rsid w:val="001A7C4D"/>
    <w:rsid w:val="001F333F"/>
    <w:rsid w:val="00245EB0"/>
    <w:rsid w:val="00253079"/>
    <w:rsid w:val="00266D51"/>
    <w:rsid w:val="002F0B23"/>
    <w:rsid w:val="00316E77"/>
    <w:rsid w:val="0035676C"/>
    <w:rsid w:val="003A5DF1"/>
    <w:rsid w:val="00405735"/>
    <w:rsid w:val="00445526"/>
    <w:rsid w:val="004D7BF5"/>
    <w:rsid w:val="005A4CD0"/>
    <w:rsid w:val="005A5551"/>
    <w:rsid w:val="006A69E1"/>
    <w:rsid w:val="00712581"/>
    <w:rsid w:val="007233EE"/>
    <w:rsid w:val="00732008"/>
    <w:rsid w:val="00826F6C"/>
    <w:rsid w:val="00904787"/>
    <w:rsid w:val="009C126D"/>
    <w:rsid w:val="00A27C56"/>
    <w:rsid w:val="00A67788"/>
    <w:rsid w:val="00A7686C"/>
    <w:rsid w:val="00AC1B5D"/>
    <w:rsid w:val="00BC73FD"/>
    <w:rsid w:val="00BD4E43"/>
    <w:rsid w:val="00C43755"/>
    <w:rsid w:val="00CD6098"/>
    <w:rsid w:val="00D02B96"/>
    <w:rsid w:val="00D401DC"/>
    <w:rsid w:val="00D77BB5"/>
    <w:rsid w:val="00D8511A"/>
    <w:rsid w:val="00DA4CFB"/>
    <w:rsid w:val="00DB0ACA"/>
    <w:rsid w:val="00DD5768"/>
    <w:rsid w:val="00DE5994"/>
    <w:rsid w:val="00DF754B"/>
    <w:rsid w:val="00E045D3"/>
    <w:rsid w:val="00E92807"/>
    <w:rsid w:val="00ED0607"/>
    <w:rsid w:val="00EF3B30"/>
    <w:rsid w:val="00F26912"/>
    <w:rsid w:val="00F46BC2"/>
    <w:rsid w:val="00F474E6"/>
    <w:rsid w:val="00F550C5"/>
    <w:rsid w:val="00FF2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B5D"/>
  </w:style>
  <w:style w:type="paragraph" w:styleId="Ttulo1">
    <w:name w:val="heading 1"/>
    <w:basedOn w:val="Normal"/>
    <w:next w:val="Normal"/>
    <w:link w:val="Ttulo1Char"/>
    <w:uiPriority w:val="9"/>
    <w:qFormat/>
    <w:rsid w:val="00BD4E43"/>
    <w:pPr>
      <w:keepNext/>
      <w:keepLines/>
      <w:numPr>
        <w:numId w:val="10"/>
      </w:numPr>
      <w:spacing w:before="240" w:after="240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26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852A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B0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BD4E43"/>
    <w:rPr>
      <w:rFonts w:ascii="Arial" w:eastAsiaTheme="majorEastAsia" w:hAnsi="Arial" w:cstheme="majorBidi"/>
      <w:b/>
      <w:bCs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D77B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77BB5"/>
  </w:style>
  <w:style w:type="paragraph" w:styleId="Rodap">
    <w:name w:val="footer"/>
    <w:basedOn w:val="Normal"/>
    <w:link w:val="RodapChar"/>
    <w:uiPriority w:val="99"/>
    <w:unhideWhenUsed/>
    <w:rsid w:val="00D77B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77BB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D4E43"/>
    <w:pPr>
      <w:keepNext/>
      <w:keepLines/>
      <w:numPr>
        <w:numId w:val="10"/>
      </w:numPr>
      <w:spacing w:before="240" w:after="240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6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52A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B0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Heading1Char">
    <w:name w:val="Heading 1 Char"/>
    <w:basedOn w:val="DefaultParagraphFont"/>
    <w:link w:val="Heading1"/>
    <w:uiPriority w:val="9"/>
    <w:rsid w:val="00BD4E43"/>
    <w:rPr>
      <w:rFonts w:ascii="Arial" w:eastAsiaTheme="majorEastAsia" w:hAnsi="Arial" w:cstheme="majorBidi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77B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BB5"/>
  </w:style>
  <w:style w:type="paragraph" w:styleId="Footer">
    <w:name w:val="footer"/>
    <w:basedOn w:val="Normal"/>
    <w:link w:val="FooterChar"/>
    <w:uiPriority w:val="99"/>
    <w:unhideWhenUsed/>
    <w:rsid w:val="00D77B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B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8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36718">
          <w:marLeft w:val="64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6713">
          <w:marLeft w:val="64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3508">
          <w:marLeft w:val="64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283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48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598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66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314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64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29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70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12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27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229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25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54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002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694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08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49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202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99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53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2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32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3118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3664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450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08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51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77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83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802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97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53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62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060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0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9349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70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47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48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10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91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53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38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76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9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13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59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058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50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81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08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60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74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14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7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B5E49-DE89-2341-905E-2DBC0A6F5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User</cp:lastModifiedBy>
  <cp:revision>2</cp:revision>
  <cp:lastPrinted>2013-04-01T15:16:00Z</cp:lastPrinted>
  <dcterms:created xsi:type="dcterms:W3CDTF">2013-04-01T15:17:00Z</dcterms:created>
  <dcterms:modified xsi:type="dcterms:W3CDTF">2013-04-01T15:17:00Z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Name 0_1">
    <vt:lpwstr>ABNT (UFPR)</vt:lpwstr>
  </property>
  <property fmtid="{D5CDD505-2E9C-101B-9397-08002B2CF9AE}" pid="3" name="Mendeley Recent Style Id 0_1">
    <vt:lpwstr>http://www.zotero.org/styles/ABNT</vt:lpwstr>
  </property>
  <property fmtid="{D5CDD505-2E9C-101B-9397-08002B2CF9AE}" pid="4" name="Mendeley Recent Style Name 1_1">
    <vt:lpwstr>ABNT_Numerico</vt:lpwstr>
  </property>
  <property fmtid="{D5CDD505-2E9C-101B-9397-08002B2CF9AE}" pid="5" name="Mendeley Recent Style Id 1_1">
    <vt:lpwstr>http://abnt_numerico</vt:lpwstr>
  </property>
  <property fmtid="{D5CDD505-2E9C-101B-9397-08002B2CF9AE}" pid="6" name="Mendeley Recent Style Name 2_1">
    <vt:lpwstr>American Medical Association</vt:lpwstr>
  </property>
  <property fmtid="{D5CDD505-2E9C-101B-9397-08002B2CF9AE}" pid="7" name="Mendeley Recent Style Id 2_1">
    <vt:lpwstr>http://www.zotero.org/styles/ama</vt:lpwstr>
  </property>
  <property fmtid="{D5CDD505-2E9C-101B-9397-08002B2CF9AE}" pid="8" name="Mendeley Recent Style Name 3_1">
    <vt:lpwstr>American Psychological Association 6th Edition</vt:lpwstr>
  </property>
  <property fmtid="{D5CDD505-2E9C-101B-9397-08002B2CF9AE}" pid="9" name="Mendeley Recent Style Id 3_1">
    <vt:lpwstr>http://www.zotero.org/styles/apa</vt:lpwstr>
  </property>
  <property fmtid="{D5CDD505-2E9C-101B-9397-08002B2CF9AE}" pid="10" name="Mendeley Recent Style Name 4_1">
    <vt:lpwstr>American Sociological Association</vt:lpwstr>
  </property>
  <property fmtid="{D5CDD505-2E9C-101B-9397-08002B2CF9AE}" pid="11" name="Mendeley Recent Style Id 4_1">
    <vt:lpwstr>http://www.zotero.org/styles/asa</vt:lpwstr>
  </property>
  <property fmtid="{D5CDD505-2E9C-101B-9397-08002B2CF9AE}" pid="12" name="Mendeley Recent Style Name 5_1">
    <vt:lpwstr>Chicago Manual of Style (Author-Date format)</vt:lpwstr>
  </property>
  <property fmtid="{D5CDD505-2E9C-101B-9397-08002B2CF9AE}" pid="13" name="Mendeley Recent Style Id 5_1">
    <vt:lpwstr>http://www.zotero.org/styles/chicago-author-date</vt:lpwstr>
  </property>
  <property fmtid="{D5CDD505-2E9C-101B-9397-08002B2CF9AE}" pid="14" name="Mendeley Recent Style Name 6_1">
    <vt:lpwstr>Chicago Manual of Style (Full Note with Bibliography)</vt:lpwstr>
  </property>
  <property fmtid="{D5CDD505-2E9C-101B-9397-08002B2CF9AE}" pid="15" name="Mendeley Recent Style Id 6_1">
    <vt:lpwstr>http://www.zotero.org/styles/chicago-fullnote-bibliography</vt:lpwstr>
  </property>
  <property fmtid="{D5CDD505-2E9C-101B-9397-08002B2CF9AE}" pid="16" name="Mendeley Recent Style Name 7_1">
    <vt:lpwstr>Chicago Manual of Style (Note with Bibliography)</vt:lpwstr>
  </property>
  <property fmtid="{D5CDD505-2E9C-101B-9397-08002B2CF9AE}" pid="17" name="Mendeley Recent Style Id 7_1">
    <vt:lpwstr>http://www.zotero.org/styles/chicago-note-bibliography</vt:lpwstr>
  </property>
  <property fmtid="{D5CDD505-2E9C-101B-9397-08002B2CF9AE}" pid="18" name="Mendeley Recent Style Name 8_1">
    <vt:lpwstr>Harvard Reference format 1 (Author-Date)</vt:lpwstr>
  </property>
  <property fmtid="{D5CDD505-2E9C-101B-9397-08002B2CF9AE}" pid="19" name="Mendeley Recent Style Id 8_1">
    <vt:lpwstr>http://www.zotero.org/styles/harvard1</vt:lpwstr>
  </property>
  <property fmtid="{D5CDD505-2E9C-101B-9397-08002B2CF9AE}" pid="20" name="Mendeley Recent Style Name 9_1">
    <vt:lpwstr>IEEE</vt:lpwstr>
  </property>
  <property fmtid="{D5CDD505-2E9C-101B-9397-08002B2CF9AE}" pid="21" name="Mendeley Recent Style Id 9_1">
    <vt:lpwstr>http://www.zotero.org/styles/ieee</vt:lpwstr>
  </property>
  <property fmtid="{D5CDD505-2E9C-101B-9397-08002B2CF9AE}" pid="22" name="Mendeley Citation Style_1">
    <vt:lpwstr>http://www.zotero.org/styles/apa</vt:lpwstr>
  </property>
</Properties>
</file>