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D8" w:rsidRDefault="00A368D8">
      <w:pPr>
        <w:widowControl w:val="0"/>
        <w:autoSpaceDE w:val="0"/>
        <w:autoSpaceDN w:val="0"/>
        <w:adjustRightInd w:val="0"/>
        <w:spacing w:after="0" w:line="230" w:lineRule="exact"/>
        <w:ind w:left="2585"/>
        <w:rPr>
          <w:rFonts w:ascii="Arial" w:hAnsi="Arial" w:cs="Arial"/>
          <w:color w:val="000000"/>
          <w:spacing w:val="-8"/>
          <w:w w:val="96"/>
          <w:sz w:val="9"/>
          <w:szCs w:val="9"/>
          <w:lang w:val="en-US"/>
        </w:rPr>
      </w:pPr>
    </w:p>
    <w:p w:rsidR="00786F1F" w:rsidRPr="00786F1F" w:rsidRDefault="00786F1F">
      <w:pPr>
        <w:widowControl w:val="0"/>
        <w:autoSpaceDE w:val="0"/>
        <w:autoSpaceDN w:val="0"/>
        <w:adjustRightInd w:val="0"/>
        <w:spacing w:after="0" w:line="230" w:lineRule="exact"/>
        <w:ind w:left="2585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786F1F" w:rsidRDefault="00786F1F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786F1F" w:rsidRDefault="00786F1F">
      <w:pPr>
        <w:widowControl w:val="0"/>
        <w:tabs>
          <w:tab w:val="left" w:pos="33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8"/>
          <w:w w:val="96"/>
          <w:sz w:val="9"/>
          <w:szCs w:val="9"/>
          <w:lang w:val="en-US"/>
        </w:rPr>
      </w:pPr>
    </w:p>
    <w:p w:rsidR="00786F1F" w:rsidRDefault="00786F1F">
      <w:pPr>
        <w:widowControl w:val="0"/>
        <w:tabs>
          <w:tab w:val="left" w:pos="33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8"/>
          <w:w w:val="96"/>
          <w:sz w:val="9"/>
          <w:szCs w:val="9"/>
          <w:lang w:val="en-US"/>
        </w:rPr>
      </w:pPr>
    </w:p>
    <w:p w:rsidR="00786F1F" w:rsidRDefault="00786F1F">
      <w:pPr>
        <w:widowControl w:val="0"/>
        <w:tabs>
          <w:tab w:val="left" w:pos="33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8"/>
          <w:w w:val="96"/>
          <w:sz w:val="9"/>
          <w:szCs w:val="9"/>
          <w:lang w:val="en-US"/>
        </w:rPr>
      </w:pPr>
    </w:p>
    <w:p w:rsidR="00A368D8" w:rsidRPr="00B56D34" w:rsidRDefault="00942547" w:rsidP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31" type="#_x0000_t75" style="position:absolute;left:0;text-align:left;margin-left:0;margin-top:723pt;width:32pt;height:32pt;z-index:-145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032" type="#_x0000_t75" style="position:absolute;left:0;text-align:left;margin-left:517pt;margin-top:723pt;width:32pt;height:32pt;z-index:-14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035" type="#_x0000_t75" style="position:absolute;left:0;text-align:left;margin-left:123pt;margin-top:123pt;width:303pt;height:508pt;z-index:-14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329"/>
      <w:bookmarkStart w:id="1" w:name="_GoBack"/>
      <w:bookmarkEnd w:id="0"/>
      <w:bookmarkEnd w:id="1"/>
    </w:p>
    <w:p w:rsidR="00A368D8" w:rsidRPr="00B56D34" w:rsidRDefault="00BB3753">
      <w:pPr>
        <w:widowControl w:val="0"/>
        <w:autoSpaceDE w:val="0"/>
        <w:autoSpaceDN w:val="0"/>
        <w:adjustRightInd w:val="0"/>
        <w:spacing w:before="159" w:after="0" w:line="414" w:lineRule="exact"/>
        <w:ind w:left="2585"/>
        <w:rPr>
          <w:rFonts w:ascii="Arial" w:hAnsi="Arial" w:cs="Arial"/>
          <w:color w:val="000000"/>
          <w:w w:val="81"/>
          <w:sz w:val="36"/>
          <w:szCs w:val="36"/>
          <w:lang w:val="en-US"/>
        </w:rPr>
      </w:pPr>
      <w:r w:rsidRPr="00B56D34">
        <w:rPr>
          <w:rFonts w:ascii="Arial" w:hAnsi="Arial" w:cs="Arial"/>
          <w:color w:val="000000"/>
          <w:w w:val="81"/>
          <w:sz w:val="36"/>
          <w:szCs w:val="36"/>
          <w:lang w:val="en-US"/>
        </w:rPr>
        <w:t xml:space="preserve">9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460" w:lineRule="exact"/>
        <w:ind w:left="2585"/>
        <w:rPr>
          <w:rFonts w:ascii="Arial" w:hAnsi="Arial" w:cs="Arial"/>
          <w:color w:val="000000"/>
          <w:w w:val="81"/>
          <w:sz w:val="36"/>
          <w:szCs w:val="36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48" w:after="0" w:line="460" w:lineRule="exact"/>
        <w:ind w:left="2585"/>
        <w:rPr>
          <w:rFonts w:ascii="Arial" w:hAnsi="Arial" w:cs="Arial"/>
          <w:color w:val="000000"/>
          <w:w w:val="82"/>
          <w:sz w:val="40"/>
          <w:szCs w:val="40"/>
          <w:lang w:val="en-US"/>
        </w:rPr>
      </w:pPr>
      <w:r w:rsidRPr="00B56D34">
        <w:rPr>
          <w:rFonts w:ascii="Arial" w:hAnsi="Arial" w:cs="Arial"/>
          <w:color w:val="000000"/>
          <w:w w:val="82"/>
          <w:sz w:val="40"/>
          <w:szCs w:val="40"/>
          <w:lang w:val="en-US"/>
        </w:rPr>
        <w:t xml:space="preserve">Implementation: new approaches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585"/>
        <w:rPr>
          <w:rFonts w:ascii="Arial" w:hAnsi="Arial" w:cs="Arial"/>
          <w:color w:val="000000"/>
          <w:w w:val="82"/>
          <w:sz w:val="40"/>
          <w:szCs w:val="4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585"/>
        <w:rPr>
          <w:rFonts w:ascii="Arial" w:hAnsi="Arial" w:cs="Arial"/>
          <w:color w:val="000000"/>
          <w:w w:val="82"/>
          <w:sz w:val="40"/>
          <w:szCs w:val="4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585"/>
        <w:rPr>
          <w:rFonts w:ascii="Arial" w:hAnsi="Arial" w:cs="Arial"/>
          <w:color w:val="000000"/>
          <w:w w:val="82"/>
          <w:sz w:val="40"/>
          <w:szCs w:val="4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585"/>
        <w:rPr>
          <w:rFonts w:ascii="Arial" w:hAnsi="Arial" w:cs="Arial"/>
          <w:color w:val="000000"/>
          <w:w w:val="82"/>
          <w:sz w:val="40"/>
          <w:szCs w:val="4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585"/>
        <w:rPr>
          <w:rFonts w:ascii="Arial" w:hAnsi="Arial" w:cs="Arial"/>
          <w:color w:val="000000"/>
          <w:w w:val="82"/>
          <w:sz w:val="40"/>
          <w:szCs w:val="40"/>
          <w:lang w:val="en-US"/>
        </w:rPr>
      </w:pPr>
    </w:p>
    <w:p w:rsidR="00A368D8" w:rsidRPr="00B56D34" w:rsidRDefault="00BB3753">
      <w:pPr>
        <w:widowControl w:val="0"/>
        <w:tabs>
          <w:tab w:val="left" w:pos="2968"/>
        </w:tabs>
        <w:autoSpaceDE w:val="0"/>
        <w:autoSpaceDN w:val="0"/>
        <w:adjustRightInd w:val="0"/>
        <w:spacing w:before="82" w:after="0" w:line="264" w:lineRule="exact"/>
        <w:ind w:left="2585"/>
        <w:rPr>
          <w:rFonts w:ascii="Arial" w:hAnsi="Arial" w:cs="Arial"/>
          <w:color w:val="000000"/>
          <w:spacing w:val="-7"/>
          <w:w w:val="94"/>
          <w:sz w:val="23"/>
          <w:szCs w:val="23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3"/>
          <w:szCs w:val="23"/>
          <w:lang w:val="en-US"/>
        </w:rPr>
        <w:t xml:space="preserve">9.1 </w:t>
      </w:r>
      <w:r w:rsidRPr="00B56D34">
        <w:rPr>
          <w:rFonts w:ascii="Arial" w:hAnsi="Arial" w:cs="Arial"/>
          <w:color w:val="000000"/>
          <w:spacing w:val="-8"/>
          <w:w w:val="88"/>
          <w:sz w:val="23"/>
          <w:szCs w:val="23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94"/>
          <w:sz w:val="23"/>
          <w:szCs w:val="23"/>
          <w:lang w:val="en-US"/>
        </w:rPr>
        <w:t xml:space="preserve">Introduction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1" w:after="0" w:line="258" w:lineRule="exact"/>
        <w:ind w:left="2585" w:right="41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In the preceding chapter, we identi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ed four stages in the process of compliance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with a primary environmental norm. We saw that the traditional approaches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used in international law to implement international obligations focus on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rst (information) and the fourth stages (reparation). The techniques dealing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with information gathering/reporting as well as with the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characterisation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of a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breach (through adjudication) and the determination of the ensuing legal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consequences (responsibility/liability) play a signi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cant role in environmental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protection, but they also raise signi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cant challenges. We identi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ed in the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process going from compliance to non-compliance, a grey area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characterised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by uncertainty as to the level of compliance (information without breach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characterisation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). This area, which one might call the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soft belly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of the com-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pliance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process, is important for our discussion because it is the main target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the implementation system of many environmental treaties.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585" w:right="40" w:firstLine="199"/>
        <w:jc w:val="both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This strategic choice </w:t>
      </w:r>
      <w:proofErr w:type="gramStart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is based</w:t>
      </w:r>
      <w:proofErr w:type="gramEnd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on two main considerations. </w:t>
      </w:r>
      <w:proofErr w:type="gramStart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On the one hand, in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an environmental protection context, prevention is much more important than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the reparation of environmental damage, which is often very dif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cult.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1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On the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other hand, the techniques relevant for the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rst and fourth stages assume that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non-compliance with an obligation is a matter of willingness rather than one of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nancial and technological capacity.</w:t>
      </w:r>
      <w:r w:rsidRPr="00B56D34"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  <w:t>2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This assumption is not necessarily accurate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for all States.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The costs and technical expertise involved in complying with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environmental treaties sometimes make their implementation dif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cult for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States that do not have the necessary resources. Moreover, even when a State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has the resources,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minimising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the costs associated with the implementation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measures remains important to make compliance more ef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cient. These two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  <w:t xml:space="preserve">factors have led to the development of new approaches to implementation.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Figure 9.1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3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identi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es the stages where these approaches intervene.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76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See Section 8.3.3.4 of Chapter 8.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0" w:after="0" w:line="180" w:lineRule="exact"/>
        <w:ind w:left="2585" w:right="74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2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See A. </w:t>
      </w:r>
      <w:proofErr w:type="spellStart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Chayes</w:t>
      </w:r>
      <w:proofErr w:type="spell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and A. Handler </w:t>
      </w:r>
      <w:proofErr w:type="spellStart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Chayes</w:t>
      </w:r>
      <w:proofErr w:type="spell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, The New Sovereignty, Compliance with International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Regulatory Agreements (Cambridge MA: Harvard University Press, 1998).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4" w:after="0" w:line="200" w:lineRule="exact"/>
        <w:ind w:left="2585" w:right="7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See P.-M.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Dupuy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‘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Où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en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est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le droit international de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l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environnement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à la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n du siècle?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(1997)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  <w:t xml:space="preserve">Revue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generale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de droit international public 873, in particular 893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5; J. E. Viñuales,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Managing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422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50" type="#_x0000_t75" style="position:absolute;left:0;text-align:left;margin-left:161pt;margin-top:1in;width:319pt;height:8pt;z-index:-142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151" type="#_x0000_t75" style="position:absolute;left:0;text-align:left;margin-left:0;margin-top:723pt;width:32pt;height:32pt;z-index:-141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52" type="#_x0000_t75" style="position:absolute;left:0;text-align:left;margin-left:517pt;margin-top:723pt;width:32pt;height:32pt;z-index:-140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53" type="#_x0000_t75" style="position:absolute;left:0;text-align:left;margin-left:517pt;margin-top:0;width:32pt;height:31pt;z-index:-139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54" type="#_x0000_t75" style="position:absolute;left:0;text-align:left;margin-left:0;margin-top:0;width:32pt;height:31pt;z-index:-138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55" type="#_x0000_t75" style="position:absolute;left:0;text-align:left;margin-left:123pt;margin-top:95pt;width:303pt;height:536pt;z-index:-137;mso-position-horizontal-relative:page;mso-position-vertical-relative:page" o:allowincell="f">
            <v:imagedata r:id="rId10" o:title=""/>
            <w10:wrap anchorx="page" anchory="page"/>
          </v:shape>
        </w:pict>
      </w:r>
      <w:bookmarkStart w:id="2" w:name="Pg349"/>
      <w:bookmarkEnd w:id="2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271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271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Facilitating 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964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4259"/>
          <w:tab w:val="left" w:pos="5644"/>
          <w:tab w:val="left" w:pos="6842"/>
        </w:tabs>
        <w:autoSpaceDE w:val="0"/>
        <w:autoSpaceDN w:val="0"/>
        <w:adjustRightInd w:val="0"/>
        <w:spacing w:before="13" w:after="0" w:line="138" w:lineRule="exact"/>
        <w:ind w:left="2964" w:firstLine="76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Stage 1: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  <w:t>Stage 2: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  <w:t>Stage 3: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  <w:t>Stage 4:</w:t>
      </w:r>
    </w:p>
    <w:p w:rsidR="00A368D8" w:rsidRPr="00B56D34" w:rsidRDefault="00BB3753">
      <w:pPr>
        <w:widowControl w:val="0"/>
        <w:tabs>
          <w:tab w:val="left" w:pos="4196"/>
          <w:tab w:val="left" w:pos="5517"/>
          <w:tab w:val="left" w:pos="6772"/>
        </w:tabs>
        <w:autoSpaceDE w:val="0"/>
        <w:autoSpaceDN w:val="0"/>
        <w:adjustRightInd w:val="0"/>
        <w:spacing w:before="6" w:after="0" w:line="138" w:lineRule="exact"/>
        <w:ind w:left="2964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Information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  <w:t>Facilitation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  <w:t>Management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  <w:t>Reparation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4021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4021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14" w:after="0" w:line="138" w:lineRule="exact"/>
        <w:ind w:left="4021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 xml:space="preserve">Stages in the norm compliance process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95" w:after="0" w:line="195" w:lineRule="exact"/>
        <w:ind w:left="2765"/>
        <w:rPr>
          <w:rFonts w:ascii="Arial" w:hAnsi="Arial" w:cs="Arial"/>
          <w:color w:val="000000"/>
          <w:spacing w:val="-7"/>
          <w:w w:val="91"/>
          <w:sz w:val="17"/>
          <w:szCs w:val="17"/>
          <w:lang w:val="en-US"/>
        </w:rPr>
      </w:pPr>
      <w:r w:rsidRPr="00B56D34">
        <w:rPr>
          <w:rFonts w:ascii="Arial" w:hAnsi="Arial" w:cs="Arial"/>
          <w:color w:val="000000"/>
          <w:spacing w:val="-7"/>
          <w:w w:val="91"/>
          <w:sz w:val="17"/>
          <w:szCs w:val="17"/>
          <w:lang w:val="en-US"/>
        </w:rPr>
        <w:t xml:space="preserve">Figure 9.1: The ‘soft belly’ of the compliance process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91"/>
          <w:sz w:val="17"/>
          <w:szCs w:val="17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52" w:after="0" w:line="260" w:lineRule="exact"/>
        <w:ind w:left="2763" w:right="40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The main techniques to facilitate compliance with environmental </w:t>
      </w:r>
      <w:proofErr w:type="spellStart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obliga</w:t>
      </w:r>
      <w:proofErr w:type="spellEnd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tions</w:t>
      </w:r>
      <w:proofErr w:type="spell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(Stage 2) seek to provide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assistance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and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ef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ciency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gains (9.2). Technical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and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nancial assistance </w:t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are intended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to give developing States the means to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create the necessary infrastructure for the implementation of their environ-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mental obligations. Other techniques aim to increase ef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ciency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so as to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reduce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the cost of compliance with environmental obligations. The latter are relevant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for both developed and developing countries and they are usually structured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as  market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mechanisms.  Regarding  techniques to  manage  cases of  non-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compliance (Stage 3), their purpose is to maintain the effectiveness of the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  <w:t xml:space="preserve">regime  within  reasonable  bounds  through  a  combination  of  renewed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assistance, diplomatic pressure and sanctions (9.3).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763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146"/>
        </w:tabs>
        <w:autoSpaceDE w:val="0"/>
        <w:autoSpaceDN w:val="0"/>
        <w:adjustRightInd w:val="0"/>
        <w:spacing w:before="130" w:after="0" w:line="264" w:lineRule="exact"/>
        <w:ind w:left="2763"/>
        <w:rPr>
          <w:rFonts w:ascii="Arial" w:hAnsi="Arial" w:cs="Arial"/>
          <w:color w:val="000000"/>
          <w:spacing w:val="-7"/>
          <w:w w:val="91"/>
          <w:sz w:val="23"/>
          <w:szCs w:val="23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3"/>
          <w:szCs w:val="23"/>
          <w:lang w:val="en-US"/>
        </w:rPr>
        <w:t>9.2</w:t>
      </w:r>
      <w:r w:rsidRPr="00B56D34">
        <w:rPr>
          <w:rFonts w:ascii="Arial" w:hAnsi="Arial" w:cs="Arial"/>
          <w:color w:val="000000"/>
          <w:spacing w:val="-8"/>
          <w:w w:val="88"/>
          <w:sz w:val="23"/>
          <w:szCs w:val="23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91"/>
          <w:sz w:val="23"/>
          <w:szCs w:val="23"/>
          <w:lang w:val="en-US"/>
        </w:rPr>
        <w:t>Techniques to facilitate compliance</w:t>
      </w:r>
    </w:p>
    <w:p w:rsidR="00A368D8" w:rsidRPr="00B56D34" w:rsidRDefault="00BB3753">
      <w:pPr>
        <w:widowControl w:val="0"/>
        <w:tabs>
          <w:tab w:val="left" w:pos="3256"/>
        </w:tabs>
        <w:autoSpaceDE w:val="0"/>
        <w:autoSpaceDN w:val="0"/>
        <w:adjustRightInd w:val="0"/>
        <w:spacing w:before="144" w:after="0" w:line="241" w:lineRule="exact"/>
        <w:ind w:left="2763"/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>9.2.1</w:t>
      </w: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  <w:t>Types of techniques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18" w:after="0" w:line="260" w:lineRule="exact"/>
        <w:ind w:left="2763" w:right="4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The  analysis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 of  techniques  to  facilitate  compliance  with  environmental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>standards presents several dif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culties. The diversity of these techniques and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the speci</w:t>
      </w:r>
      <w:r w:rsidRPr="00B56D34">
        <w:rPr>
          <w:rFonts w:ascii="Arial" w:hAnsi="Arial" w:cs="Arial"/>
          <w:color w:val="000000"/>
          <w:w w:val="108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cities of each mechanism make them dif</w:t>
      </w:r>
      <w:r w:rsidRPr="00B56D34">
        <w:rPr>
          <w:rFonts w:ascii="Arial" w:hAnsi="Arial" w:cs="Arial"/>
          <w:color w:val="000000"/>
          <w:w w:val="108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cult to understand.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Moreover, their operation is as much about political and economic factors as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it is about law. It is therefore necessary to clarify the angle from which these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techniques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will be discussed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here.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763" w:right="40" w:firstLine="199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Often, international environmental law textbooks provide a description of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various mechanisms such as development aid, environmental funds,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technol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ogy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transfer, capacity building and others. In this way, the constitutive rules of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several instruments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are presented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succinctly without going into the details of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901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90" w:after="0" w:line="200" w:lineRule="exact"/>
        <w:ind w:left="2901" w:right="72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Abidance by Standards for the Protection of the Environment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, in A. Cassese (ed.), Realizing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Utopia (Oxford University Press, 2012), pp. 326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39.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246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56" type="#_x0000_t75" style="position:absolute;left:0;text-align:left;margin-left:152pt;margin-top:1in;width:319pt;height:8pt;z-index:-136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157" type="#_x0000_t75" style="position:absolute;left:0;text-align:left;margin-left:0;margin-top:723pt;width:32pt;height:32pt;z-index:-135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58" type="#_x0000_t75" style="position:absolute;left:0;text-align:left;margin-left:517pt;margin-top:723pt;width:32pt;height:32pt;z-index:-13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59" type="#_x0000_t75" style="position:absolute;left:0;text-align:left;margin-left:517pt;margin-top:0;width:32pt;height:31pt;z-index:-133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60" type="#_x0000_t75" style="position:absolute;left:0;text-align:left;margin-left:0;margin-top:0;width:32pt;height:31pt;z-index:-132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61" type="#_x0000_t75" style="position:absolute;left:0;text-align:left;margin-left:123pt;margin-top:123pt;width:303pt;height:508pt;z-index:-131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3" w:name="Pg350"/>
      <w:bookmarkEnd w:id="3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272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272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585" w:right="41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their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operation. This approach is understandable because, as noted earlier, the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techniques differ and each mechanism has features that cannot be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analysed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in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the limited context of a textbook, even a voluminous one. Our discussion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adopts a slightly different yet complementary approach. Instead of providing a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survey with a brief introduction to each mechanism, we focus on three aspects.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585" w:right="41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First, a key consideration in the context of this book is to clarify the nature of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innovative implementation approaches adopted by environmental treaties.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This is why we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emphasise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the two goals pursued by the diverse range of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facilitation techniques, namely the provision of assistance and the generation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of ef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ciency gains. Second, given the signi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cant number of potentially relevant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instruments, it is not possible to cover every eventuality succinctly. To over-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come this dif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culty, we will select major illustrations of each technique,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on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basis of</w:t>
      </w:r>
      <w:proofErr w:type="gram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both their emblematic character and their practical importance. A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third aspect that we must consider is the particular angle adopted in the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analysis. After introducing the basic features of each mechanism, we will pay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particular attention to the legal issues that arise in their operation.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078"/>
        </w:tabs>
        <w:autoSpaceDE w:val="0"/>
        <w:autoSpaceDN w:val="0"/>
        <w:adjustRightInd w:val="0"/>
        <w:spacing w:before="164" w:after="0" w:line="241" w:lineRule="exact"/>
        <w:ind w:left="2585"/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7"/>
          <w:sz w:val="21"/>
          <w:szCs w:val="21"/>
          <w:lang w:val="en-US"/>
        </w:rPr>
        <w:t>9.2.2</w:t>
      </w:r>
      <w:r w:rsidRPr="00B56D34">
        <w:rPr>
          <w:rFonts w:ascii="Arial" w:hAnsi="Arial" w:cs="Arial"/>
          <w:color w:val="000000"/>
          <w:spacing w:val="-8"/>
          <w:w w:val="87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  <w:t>Techniques oriented towards assistance</w:t>
      </w:r>
    </w:p>
    <w:p w:rsidR="00A368D8" w:rsidRPr="00B56D34" w:rsidRDefault="00BB3753">
      <w:pPr>
        <w:widowControl w:val="0"/>
        <w:tabs>
          <w:tab w:val="left" w:pos="3224"/>
        </w:tabs>
        <w:autoSpaceDE w:val="0"/>
        <w:autoSpaceDN w:val="0"/>
        <w:adjustRightInd w:val="0"/>
        <w:spacing w:before="147" w:after="0" w:line="241" w:lineRule="exact"/>
        <w:ind w:left="2585"/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7"/>
          <w:sz w:val="21"/>
          <w:szCs w:val="21"/>
          <w:lang w:val="en-US"/>
        </w:rPr>
        <w:t>9.2.2.1</w:t>
      </w:r>
      <w:r w:rsidRPr="00B56D34">
        <w:rPr>
          <w:rFonts w:ascii="Arial" w:hAnsi="Arial" w:cs="Arial"/>
          <w:color w:val="000000"/>
          <w:spacing w:val="-8"/>
          <w:w w:val="87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  <w:t>Financial assistance</w:t>
      </w:r>
    </w:p>
    <w:p w:rsidR="00A368D8" w:rsidRPr="00B56D34" w:rsidRDefault="00BB3753">
      <w:pPr>
        <w:widowControl w:val="0"/>
        <w:tabs>
          <w:tab w:val="left" w:pos="3350"/>
        </w:tabs>
        <w:autoSpaceDE w:val="0"/>
        <w:autoSpaceDN w:val="0"/>
        <w:adjustRightInd w:val="0"/>
        <w:spacing w:before="19" w:after="0" w:line="241" w:lineRule="exact"/>
        <w:ind w:left="2585"/>
        <w:rPr>
          <w:rFonts w:ascii="Arial" w:hAnsi="Arial" w:cs="Arial"/>
          <w:color w:val="000000"/>
          <w:spacing w:val="-7"/>
          <w:w w:val="86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>9.2.2.1.1</w:t>
      </w: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6"/>
          <w:sz w:val="21"/>
          <w:szCs w:val="21"/>
          <w:lang w:val="en-US"/>
        </w:rPr>
        <w:t>Overview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585" w:right="41"/>
        <w:jc w:val="both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An important technique in the implementation of environmental agreements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is the provision of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nancial assistance. The term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nancial assistance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includes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a variety of public, private or even mixed mechanisms. These mechanisms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are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often established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to bridge the positions of developed and developing countries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in treaty negotiations. This was the case, for example, of the Multilateral Fund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of the 1987 Montreal Protocol.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4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Indeed, the Fund 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was introduced</w:t>
      </w:r>
      <w:proofErr w:type="gram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in 1990 by an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amendment to the Protocol designed to bring certain developing countries, in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particular China and India, into the system. This mechanism, as several other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innovations introduced by the Montreal Protocol, profoundly in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uenced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the way differences between developed and developing countries came to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be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managed</w:t>
      </w:r>
      <w:proofErr w:type="gram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in subsequent environmental negotiations. We will discuss this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mechanism in more detail later, but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rst it is useful to place it in the broader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context of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nancial assistance techniques. Figure 9.2 gives an overview of these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  <w:t xml:space="preserve">techniques.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53" w:lineRule="exact"/>
        <w:ind w:left="2585" w:right="40" w:firstLine="199"/>
        <w:jc w:val="both"/>
        <w:rPr>
          <w:rFonts w:ascii="Times New Roman" w:hAnsi="Times New Roman"/>
          <w:color w:val="000000"/>
          <w:w w:val="106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More generally, in international negotiations the source of funding plays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an important role. Public</w:t>
      </w:r>
      <w:r w:rsidRPr="00B56D34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nance is often preferred by developing countries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because it is, in theory, more predictable</w:t>
      </w:r>
      <w:proofErr w:type="gram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w w:val="106"/>
          <w:sz w:val="21"/>
          <w:szCs w:val="21"/>
          <w:vertAlign w:val="superscript"/>
          <w:lang w:val="en-US"/>
        </w:rPr>
        <w:t>5</w:t>
      </w:r>
      <w:proofErr w:type="gram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although the commitments of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  <w:t xml:space="preserve">developed countries in this area are not always respected and often have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90" w:lineRule="exact"/>
        <w:ind w:left="2585"/>
        <w:rPr>
          <w:rFonts w:ascii="Times New Roman" w:hAnsi="Times New Roman"/>
          <w:color w:val="000000"/>
          <w:w w:val="106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23" w:after="0" w:line="190" w:lineRule="exact"/>
        <w:ind w:left="2585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4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Montreal Protocol on Substances that Deplete the Ozone Layer, 16 September 1987, 1522 UNTS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3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Montreal Protocol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See also the Terms of Reference for the Multilateral Fund, 25 November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  <w:t>1992, UNEP/OzL.Pro.4/15, Annex IX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Terms of Reference for the Multilateral Fund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00" w:lineRule="exact"/>
        <w:ind w:left="2585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5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Report of the United Nations Conference on Environment and Development, A/CONF.151/26/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Rev.l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(Vol. l), Resolution 1, Annex 2: Action 21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Action 21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), para. 33.11(b).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sectPr w:rsidR="00A368D8" w:rsidRPr="00B56D34">
          <w:pgSz w:w="10980" w:h="15120"/>
          <w:pgMar w:top="-20" w:right="1423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62" type="#_x0000_t75" style="position:absolute;left:0;text-align:left;margin-left:162pt;margin-top:73pt;width:318pt;height:7pt;z-index:-130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noProof/>
        </w:rPr>
        <w:pict>
          <v:shape id="_x0000_s3163" type="#_x0000_t75" style="position:absolute;left:0;text-align:left;margin-left:222pt;margin-top:105pt;width:198pt;height:16pt;z-index:-129;mso-position-horizontal-relative:page;mso-position-vertical-relative:page" o:allowincell="f">
            <v:imagedata r:id="rId13" o:title=""/>
            <w10:wrap anchorx="page" anchory="page"/>
          </v:shape>
        </w:pict>
      </w:r>
      <w:r>
        <w:rPr>
          <w:noProof/>
        </w:rPr>
        <w:pict>
          <v:shape id="_x0000_s3164" type="#_x0000_t75" style="position:absolute;left:0;text-align:left;margin-left:0;margin-top:723pt;width:32pt;height:32pt;z-index:-12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65" type="#_x0000_t75" style="position:absolute;left:0;text-align:left;margin-left:517pt;margin-top:723pt;width:32pt;height:32pt;z-index:-127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66" type="#_x0000_t75" style="position:absolute;left:0;text-align:left;margin-left:517pt;margin-top:0;width:32pt;height:31pt;z-index:-12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67" type="#_x0000_t75" style="position:absolute;left:0;text-align:left;margin-left:0;margin-top:0;width:32pt;height:31pt;z-index:-125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68" type="#_x0000_t75" style="position:absolute;left:0;text-align:left;margin-left:123pt;margin-top:122pt;width:318pt;height:509pt;z-index:-124;mso-position-horizontal-relative:page;mso-position-vertical-relative:page" o:allowincell="f">
            <v:imagedata r:id="rId14" o:title=""/>
            <w10:wrap anchorx="page" anchory="page"/>
          </v:shape>
        </w:pict>
      </w:r>
      <w:bookmarkStart w:id="4" w:name="Pg351"/>
      <w:bookmarkEnd w:id="4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273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>[270-294] 24.2.2015 3:45PM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7"/>
          <w:sz w:val="9"/>
          <w:szCs w:val="9"/>
          <w:lang w:val="en-US"/>
        </w:rPr>
        <w:sectPr w:rsidR="00A368D8" w:rsidRPr="00B56D34">
          <w:pgSz w:w="10980" w:h="15120"/>
          <w:pgMar w:top="-20" w:right="1244" w:bottom="-20" w:left="552" w:header="720" w:footer="720" w:gutter="0"/>
          <w:cols w:space="720"/>
          <w:noEndnote/>
        </w:sect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58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273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Facilitating 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808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808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808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808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808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808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28" w:after="0" w:line="138" w:lineRule="exact"/>
        <w:ind w:left="3808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Public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084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</w:pPr>
    </w:p>
    <w:p w:rsidR="00A368D8" w:rsidRPr="00B56D34" w:rsidRDefault="00BB3753">
      <w:pPr>
        <w:widowControl w:val="0"/>
        <w:tabs>
          <w:tab w:val="left" w:pos="4097"/>
        </w:tabs>
        <w:autoSpaceDE w:val="0"/>
        <w:autoSpaceDN w:val="0"/>
        <w:adjustRightInd w:val="0"/>
        <w:spacing w:before="49" w:after="0" w:line="138" w:lineRule="exact"/>
        <w:ind w:left="3084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>General</w:t>
      </w: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Environmental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93" w:after="0" w:line="138" w:lineRule="exact"/>
        <w:ind w:left="2875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ODA (Official</w:t>
      </w:r>
    </w:p>
    <w:p w:rsidR="00A368D8" w:rsidRPr="00B56D34" w:rsidRDefault="00BB3753">
      <w:pPr>
        <w:widowControl w:val="0"/>
        <w:tabs>
          <w:tab w:val="left" w:pos="3836"/>
          <w:tab w:val="left" w:pos="4648"/>
        </w:tabs>
        <w:autoSpaceDE w:val="0"/>
        <w:autoSpaceDN w:val="0"/>
        <w:adjustRightInd w:val="0"/>
        <w:spacing w:before="6" w:after="0" w:line="138" w:lineRule="exact"/>
        <w:ind w:left="2875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position w:val="-3"/>
          <w:sz w:val="12"/>
          <w:szCs w:val="12"/>
          <w:lang w:val="en-US"/>
        </w:rPr>
        <w:t>Development</w:t>
      </w:r>
      <w:r w:rsidRPr="00B56D34">
        <w:rPr>
          <w:rFonts w:ascii="Arial" w:hAnsi="Arial" w:cs="Arial"/>
          <w:color w:val="2B2A29"/>
          <w:position w:val="-3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>General</w:t>
      </w: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Specific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6" w:after="0" w:line="138" w:lineRule="exact"/>
        <w:ind w:left="2875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Assistance)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br w:type="column"/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65"/>
        <w:rPr>
          <w:rFonts w:ascii="Arial" w:hAnsi="Arial" w:cs="Arial"/>
          <w:color w:val="2B2A29"/>
          <w:sz w:val="12"/>
          <w:szCs w:val="12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72" w:after="0" w:line="138" w:lineRule="exact"/>
        <w:ind w:left="65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>Finance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725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</w:p>
    <w:p w:rsidR="00A368D8" w:rsidRPr="00B56D34" w:rsidRDefault="00BB3753">
      <w:pPr>
        <w:widowControl w:val="0"/>
        <w:tabs>
          <w:tab w:val="left" w:pos="2081"/>
        </w:tabs>
        <w:autoSpaceDE w:val="0"/>
        <w:autoSpaceDN w:val="0"/>
        <w:adjustRightInd w:val="0"/>
        <w:spacing w:before="138" w:after="0" w:line="138" w:lineRule="exact"/>
        <w:ind w:left="725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>Mixed</w:t>
      </w: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>Private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311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</w:p>
    <w:p w:rsidR="00A368D8" w:rsidRPr="00B56D34" w:rsidRDefault="00BB3753">
      <w:pPr>
        <w:widowControl w:val="0"/>
        <w:tabs>
          <w:tab w:val="left" w:pos="955"/>
          <w:tab w:val="left" w:pos="1761"/>
          <w:tab w:val="left" w:pos="2645"/>
        </w:tabs>
        <w:autoSpaceDE w:val="0"/>
        <w:autoSpaceDN w:val="0"/>
        <w:adjustRightInd w:val="0"/>
        <w:spacing w:before="49" w:after="0" w:line="138" w:lineRule="exact"/>
        <w:ind w:left="311"/>
        <w:rPr>
          <w:rFonts w:ascii="Arial" w:hAnsi="Arial" w:cs="Arial"/>
          <w:b/>
          <w:bCs/>
          <w:color w:val="2B2A29"/>
          <w:spacing w:val="-4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Hybrid</w:t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>Leveraged</w:t>
      </w:r>
      <w:r w:rsidRPr="00B56D34">
        <w:rPr>
          <w:rFonts w:ascii="Arial" w:hAnsi="Arial" w:cs="Arial"/>
          <w:b/>
          <w:bCs/>
          <w:color w:val="2B2A29"/>
          <w:spacing w:val="-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Direct</w:t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-4"/>
          <w:sz w:val="12"/>
          <w:szCs w:val="12"/>
          <w:lang w:val="en-US"/>
        </w:rPr>
        <w:t>SRI</w:t>
      </w:r>
    </w:p>
    <w:p w:rsidR="00A368D8" w:rsidRPr="00B56D34" w:rsidRDefault="00BB3753">
      <w:pPr>
        <w:widowControl w:val="0"/>
        <w:tabs>
          <w:tab w:val="left" w:pos="1631"/>
        </w:tabs>
        <w:autoSpaceDE w:val="0"/>
        <w:autoSpaceDN w:val="0"/>
        <w:adjustRightInd w:val="0"/>
        <w:spacing w:before="6" w:after="0" w:line="138" w:lineRule="exact"/>
        <w:ind w:left="141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 xml:space="preserve">Mechanisms </w:t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finance</w:t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>Investment</w:t>
      </w:r>
    </w:p>
    <w:p w:rsidR="00A368D8" w:rsidRPr="00B56D34" w:rsidRDefault="00BB3753">
      <w:pPr>
        <w:widowControl w:val="0"/>
        <w:tabs>
          <w:tab w:val="left" w:pos="1071"/>
        </w:tabs>
        <w:autoSpaceDE w:val="0"/>
        <w:autoSpaceDN w:val="0"/>
        <w:adjustRightInd w:val="0"/>
        <w:spacing w:before="50" w:after="0" w:line="138" w:lineRule="exact"/>
        <w:ind w:left="10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PCF (Prototype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</w:r>
      <w:r w:rsidRPr="00B56D34">
        <w:rPr>
          <w:rFonts w:ascii="Arial" w:hAnsi="Arial" w:cs="Arial"/>
          <w:color w:val="2B2A29"/>
          <w:w w:val="102"/>
          <w:sz w:val="12"/>
          <w:szCs w:val="12"/>
          <w:lang w:val="en-US"/>
        </w:rPr>
        <w:t xml:space="preserve">GEF     Flexible mechanisms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>Private funds</w:t>
      </w:r>
    </w:p>
    <w:p w:rsidR="00A368D8" w:rsidRPr="00B56D34" w:rsidRDefault="00BB3753">
      <w:pPr>
        <w:widowControl w:val="0"/>
        <w:tabs>
          <w:tab w:val="left" w:pos="1560"/>
        </w:tabs>
        <w:autoSpaceDE w:val="0"/>
        <w:autoSpaceDN w:val="0"/>
        <w:adjustRightInd w:val="0"/>
        <w:spacing w:before="6" w:after="0" w:line="138" w:lineRule="exact"/>
        <w:ind w:left="10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Carbon Fund)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  <w:t>(CDM and JI)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z w:val="12"/>
          <w:szCs w:val="12"/>
          <w:lang w:val="en-US"/>
        </w:rPr>
        <w:sectPr w:rsidR="00A368D8" w:rsidRPr="00B56D34">
          <w:type w:val="continuous"/>
          <w:pgSz w:w="10980" w:h="15120"/>
          <w:pgMar w:top="-20" w:right="1244" w:bottom="-20" w:left="552" w:header="720" w:footer="720" w:gutter="0"/>
          <w:cols w:num="2" w:space="720" w:equalWidth="0">
            <w:col w:w="5369" w:space="160"/>
            <w:col w:w="3493"/>
          </w:cols>
          <w:noEndnote/>
        </w:sect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108" w:lineRule="exact"/>
        <w:ind w:left="3760"/>
        <w:rPr>
          <w:rFonts w:ascii="Arial" w:hAnsi="Arial" w:cs="Arial"/>
          <w:color w:val="2B2A29"/>
          <w:spacing w:val="-2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pacing w:val="-2"/>
          <w:sz w:val="12"/>
          <w:szCs w:val="12"/>
          <w:lang w:val="en-US"/>
        </w:rPr>
        <w:lastRenderedPageBreak/>
        <w:t>GEF (Global</w:t>
      </w:r>
    </w:p>
    <w:p w:rsidR="00A368D8" w:rsidRPr="00B56D34" w:rsidRDefault="00BB3753">
      <w:pPr>
        <w:widowControl w:val="0"/>
        <w:tabs>
          <w:tab w:val="left" w:pos="3710"/>
        </w:tabs>
        <w:autoSpaceDE w:val="0"/>
        <w:autoSpaceDN w:val="0"/>
        <w:adjustRightInd w:val="0"/>
        <w:spacing w:after="0" w:line="108" w:lineRule="exact"/>
        <w:ind w:left="2875"/>
        <w:rPr>
          <w:rFonts w:ascii="Arial" w:hAnsi="Arial" w:cs="Arial"/>
          <w:color w:val="2B2A29"/>
          <w:spacing w:val="-2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 xml:space="preserve">World Bank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tab/>
      </w:r>
      <w:r w:rsidRPr="00B56D34">
        <w:rPr>
          <w:rFonts w:ascii="Arial" w:hAnsi="Arial" w:cs="Arial"/>
          <w:color w:val="2B2A29"/>
          <w:spacing w:val="-2"/>
          <w:sz w:val="12"/>
          <w:szCs w:val="12"/>
          <w:lang w:val="en-US"/>
        </w:rPr>
        <w:t>Environmental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30" w:after="0" w:line="121" w:lineRule="exact"/>
        <w:ind w:left="2765" w:right="157" w:firstLine="995"/>
        <w:jc w:val="both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Facility) Regional Banks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113" w:lineRule="exact"/>
        <w:ind w:left="10" w:right="1392"/>
        <w:jc w:val="both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br w:type="column"/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lastRenderedPageBreak/>
        <w:t xml:space="preserve">World Heritage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>Fund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81" w:after="0" w:line="143" w:lineRule="exact"/>
        <w:ind w:left="10" w:right="1305"/>
        <w:jc w:val="both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 xml:space="preserve">Multilateral Fund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>(ozone)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81" w:after="0" w:line="143" w:lineRule="exact"/>
        <w:ind w:left="10" w:right="1419"/>
        <w:jc w:val="both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 xml:space="preserve">Green Climate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>Fund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9" w:after="0" w:line="143" w:lineRule="exact"/>
        <w:ind w:left="10" w:right="934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br w:type="column"/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lastRenderedPageBreak/>
        <w:t xml:space="preserve">Agreements on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 xml:space="preserve">access to genetic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 xml:space="preserve">resources and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 xml:space="preserve">benefit sharing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>(ABS)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42" w:after="0" w:line="138" w:lineRule="exact"/>
        <w:ind w:left="10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>Payments for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144" w:lineRule="exact"/>
        <w:ind w:left="10" w:right="814"/>
        <w:jc w:val="both"/>
        <w:rPr>
          <w:rFonts w:ascii="Arial" w:hAnsi="Arial" w:cs="Arial"/>
          <w:color w:val="2B2A29"/>
          <w:sz w:val="12"/>
          <w:szCs w:val="12"/>
          <w:lang w:val="en-US"/>
        </w:rPr>
      </w:pPr>
      <w:proofErr w:type="gramStart"/>
      <w:r w:rsidRPr="00B56D34">
        <w:rPr>
          <w:rFonts w:ascii="Arial" w:hAnsi="Arial" w:cs="Arial"/>
          <w:color w:val="2B2A29"/>
          <w:sz w:val="12"/>
          <w:szCs w:val="12"/>
          <w:lang w:val="en-US"/>
        </w:rPr>
        <w:t>ecosystem</w:t>
      </w:r>
      <w:proofErr w:type="gramEnd"/>
      <w:r w:rsidRPr="00B56D34">
        <w:rPr>
          <w:rFonts w:ascii="Arial" w:hAnsi="Arial" w:cs="Arial"/>
          <w:color w:val="2B2A29"/>
          <w:sz w:val="12"/>
          <w:szCs w:val="12"/>
          <w:lang w:val="en-US"/>
        </w:rPr>
        <w:t xml:space="preserve"> services </w:t>
      </w:r>
      <w:r w:rsidRPr="00B56D34">
        <w:rPr>
          <w:rFonts w:ascii="Arial" w:hAnsi="Arial" w:cs="Arial"/>
          <w:color w:val="2B2A29"/>
          <w:sz w:val="12"/>
          <w:szCs w:val="12"/>
          <w:lang w:val="en-US"/>
        </w:rPr>
        <w:br/>
        <w:t>(PES), including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5" w:after="0" w:line="138" w:lineRule="exact"/>
        <w:ind w:left="10"/>
        <w:rPr>
          <w:rFonts w:ascii="Arial" w:hAnsi="Arial" w:cs="Arial"/>
          <w:color w:val="2B2A29"/>
          <w:spacing w:val="1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pacing w:val="1"/>
          <w:sz w:val="12"/>
          <w:szCs w:val="12"/>
          <w:lang w:val="en-US"/>
        </w:rPr>
        <w:t>REDD-plus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73" w:after="0" w:line="138" w:lineRule="exact"/>
        <w:ind w:left="13"/>
        <w:rPr>
          <w:rFonts w:ascii="Arial" w:hAnsi="Arial" w:cs="Arial"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color w:val="2B2A29"/>
          <w:sz w:val="12"/>
          <w:szCs w:val="12"/>
          <w:lang w:val="en-US"/>
        </w:rPr>
        <w:t xml:space="preserve">General investment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z w:val="12"/>
          <w:szCs w:val="12"/>
          <w:lang w:val="en-US"/>
        </w:rPr>
        <w:sectPr w:rsidR="00A368D8" w:rsidRPr="00B56D34">
          <w:type w:val="continuous"/>
          <w:pgSz w:w="10980" w:h="15120"/>
          <w:pgMar w:top="-20" w:right="1244" w:bottom="-20" w:left="552" w:header="720" w:footer="720" w:gutter="0"/>
          <w:cols w:num="3" w:space="720" w:equalWidth="0">
            <w:col w:w="4549" w:space="40"/>
            <w:col w:w="2302" w:space="160"/>
            <w:col w:w="1971"/>
          </w:cols>
          <w:noEndnote/>
        </w:sect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98" w:after="0" w:line="195" w:lineRule="exact"/>
        <w:ind w:left="2765"/>
        <w:rPr>
          <w:rFonts w:ascii="Arial" w:hAnsi="Arial" w:cs="Arial"/>
          <w:color w:val="000000"/>
          <w:spacing w:val="-7"/>
          <w:w w:val="89"/>
          <w:sz w:val="17"/>
          <w:szCs w:val="17"/>
          <w:lang w:val="en-US"/>
        </w:rPr>
      </w:pPr>
      <w:r w:rsidRPr="00B56D34">
        <w:rPr>
          <w:rFonts w:ascii="Arial" w:hAnsi="Arial" w:cs="Arial"/>
          <w:color w:val="000000"/>
          <w:spacing w:val="-7"/>
          <w:w w:val="89"/>
          <w:sz w:val="17"/>
          <w:szCs w:val="17"/>
          <w:lang w:val="en-US"/>
        </w:rPr>
        <w:lastRenderedPageBreak/>
        <w:t xml:space="preserve">Figure 9.2: Techniques of financial assistance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59" w:lineRule="exact"/>
        <w:ind w:left="2763"/>
        <w:jc w:val="both"/>
        <w:rPr>
          <w:rFonts w:ascii="Arial" w:hAnsi="Arial" w:cs="Arial"/>
          <w:color w:val="000000"/>
          <w:spacing w:val="-7"/>
          <w:w w:val="89"/>
          <w:sz w:val="17"/>
          <w:szCs w:val="17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14" w:after="0" w:line="259" w:lineRule="exact"/>
        <w:ind w:left="2763" w:right="40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strings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attached. In contrast, developed countries often argue the need for a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greater role of private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nance, including through the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liberalisation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of capital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movements and easier access for foreign direct investment. Within public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nance, two distinct strands </w:t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can be identi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ed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depending on whether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</w:t>
      </w:r>
      <w:proofErr w:type="spellStart"/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nan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cial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resources are generally allocated to development or more speci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cally to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environmental protection. We cannot dwell here on the broader issue of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of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cial development assistance (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ODA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).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6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Suf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ce it to note that the emphasis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>on the provision of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new and additional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7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resources is intended to ensure that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nancial assistance goes beyond the mere reallocation of ODA to environ-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  <w:t xml:space="preserve">mental projects. As for mechanisms focusing on environmental protection,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a further distinction </w:t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can be made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between general environmental funds (e.g.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 Global Environmental Facility or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GEF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) and treaty-speci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 ones (e.g. the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World Heritage Fund, the Multilateral Fund or the Green Climate Fund).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Regarding private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nance, whether it is foreign direct investment, portfolio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investment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8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or simply commercial lending, its importance has been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increas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ingly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recognised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since the 1992 Earth Summit. The legal questions raised by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this source of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nance </w:t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will be discussed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in Chapter 12. Another technique of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growing importance </w:t>
      </w:r>
      <w:proofErr w:type="gramStart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is mixed</w:t>
      </w:r>
      <w:proofErr w:type="gramEnd"/>
      <w:r w:rsidRPr="00B56D34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nancing, often under the aegis of a develop-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ment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bank or the GEF, which has </w:t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mobilised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substantial amounts of private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capital as part of its leveraged</w:t>
      </w:r>
      <w:r w:rsidRPr="00B56D34">
        <w:rPr>
          <w:rFonts w:ascii="Arial" w:hAnsi="Arial" w:cs="Arial"/>
          <w:color w:val="000000"/>
          <w:w w:val="106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nance activities. Another example is the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Prototype Carbon Fund (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PCF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) set up by the World Bank, which provides a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 xml:space="preserve">template for the creation of other hybrid funds at the domestic level.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763" w:right="41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These general observations about the types of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nancing set the background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for  a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 more  detailed  analysis  of  three  examples,  namely  treaty-speci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5" w:after="0" w:line="184" w:lineRule="exact"/>
        <w:ind w:left="276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6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See P.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Kohona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UNCED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The Transfer of Financial Resources to Developing Countries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(1992)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901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Review of European Community and International Environmental Law 307.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179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7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Action 21, supra n. 5, Chapter 33, particularly para. 33.1.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4" w:after="0" w:line="200" w:lineRule="exact"/>
        <w:ind w:left="2763" w:right="7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8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See B. J. Richardson, Socially Responsible Investment Law: Regulating the Unseen Polluters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(Oxford University Press, 2008).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type w:val="continuous"/>
          <w:pgSz w:w="10980" w:h="15120"/>
          <w:pgMar w:top="20" w:right="1244" w:bottom="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69" type="#_x0000_t75" style="position:absolute;left:0;text-align:left;margin-left:152pt;margin-top:1in;width:319pt;height:8pt;z-index:-123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170" type="#_x0000_t75" style="position:absolute;left:0;text-align:left;margin-left:0;margin-top:723pt;width:32pt;height:32pt;z-index:-12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71" type="#_x0000_t75" style="position:absolute;left:0;text-align:left;margin-left:517pt;margin-top:723pt;width:32pt;height:32pt;z-index:-121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72" type="#_x0000_t75" style="position:absolute;left:0;text-align:left;margin-left:517pt;margin-top:0;width:32pt;height:31pt;z-index:-120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73" type="#_x0000_t75" style="position:absolute;left:0;text-align:left;margin-left:0;margin-top:0;width:32pt;height:31pt;z-index:-119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74" type="#_x0000_t75" style="position:absolute;left:0;text-align:left;margin-left:123pt;margin-top:123pt;width:303pt;height:508pt;z-index:-118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5" w:name="Pg352"/>
      <w:bookmarkEnd w:id="5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274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274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585" w:right="41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environmental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funds, the GEF and the PCF. The analysis of these mechanisms will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emphasise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their function as well as some selected legal questions.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585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350"/>
        </w:tabs>
        <w:autoSpaceDE w:val="0"/>
        <w:autoSpaceDN w:val="0"/>
        <w:adjustRightInd w:val="0"/>
        <w:spacing w:before="35" w:after="0" w:line="241" w:lineRule="exact"/>
        <w:ind w:left="2585"/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 xml:space="preserve">9.2.2.1.2 </w:t>
      </w: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  <w:t xml:space="preserve">Treaty-specific environmental funds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9" w:after="0" w:line="230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rst treaty-speci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 environmental fund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was created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in 1972 under Article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7" w:after="0" w:line="259" w:lineRule="exact"/>
        <w:ind w:left="2585" w:right="40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15 of the World Heritage Convention.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9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Despite the modest amounts (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approxi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mately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$4 million dollars annually) managed by the World Heritage Fund, this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mechanism is representative of a type of fund that we also</w:t>
      </w:r>
      <w:r w:rsidRPr="00B56D34">
        <w:rPr>
          <w:rFonts w:ascii="Arial" w:hAnsi="Arial" w:cs="Arial"/>
          <w:color w:val="000000"/>
          <w:w w:val="108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nd in other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environmental treaties, including the </w:t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Ramsar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Convention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10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and the Basel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Convention.</w:t>
      </w:r>
      <w:r w:rsidRPr="00B56D34">
        <w:rPr>
          <w:rFonts w:ascii="Times New Roman" w:hAnsi="Times New Roman"/>
          <w:color w:val="000000"/>
          <w:w w:val="105"/>
          <w:sz w:val="21"/>
          <w:szCs w:val="21"/>
          <w:vertAlign w:val="superscript"/>
          <w:lang w:val="en-US"/>
        </w:rPr>
        <w:t>11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 The World Heritage Fund is based on contributions from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States, partly compulsory and partly voluntary, as well as donations from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other entities, such as international </w:t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organisations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or private entities.</w:t>
      </w:r>
      <w:r w:rsidRPr="00B56D34">
        <w:rPr>
          <w:rFonts w:ascii="Times New Roman" w:hAnsi="Times New Roman"/>
          <w:color w:val="000000"/>
          <w:w w:val="102"/>
          <w:sz w:val="21"/>
          <w:szCs w:val="21"/>
          <w:vertAlign w:val="superscript"/>
          <w:lang w:val="en-US"/>
        </w:rPr>
        <w:t>12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The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amounts of the Fund are allocated to activities de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ned by the World Heritage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Committee established by the Convention and only to the extent of amounts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actually available.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13 </w:t>
      </w:r>
      <w:r w:rsidRPr="00B56D34">
        <w:rPr>
          <w:rFonts w:ascii="Times New Roman" w:hAnsi="Times New Roman"/>
          <w:color w:val="000000"/>
          <w:w w:val="101"/>
          <w:sz w:val="20"/>
          <w:szCs w:val="20"/>
          <w:lang w:val="en-US"/>
        </w:rPr>
        <w:t xml:space="preserve">These activities primarily involve capacity-building of </w:t>
      </w:r>
      <w:r w:rsidRPr="00B56D34">
        <w:rPr>
          <w:rFonts w:ascii="Times New Roman" w:hAnsi="Times New Roman"/>
          <w:color w:val="000000"/>
          <w:w w:val="10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States parties (provision of experts and training) and other forms of technical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assistance (studies and the supply of equipment).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Certain amounts of the Fund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are allocated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to maintain a reserve fund (referred to in Article 21(2) of the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Convention) whose purpose is to lend prompt assistance in emergencies, such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as the occurrence of natural disasters. The Committee has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organised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the target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activities into three categories according to their priority in fund allocation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: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14</w:t>
      </w:r>
      <w:proofErr w:type="gramEnd"/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emergency assistance (particularly regarding the sites included on the List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World Heritage in Danger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15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); support in the area of conservation and manage-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ment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; and preparatory assistance. The current strategy of the Fund is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consis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tent with the broader trend of environmental funds to leverage additional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capital through co-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nance of projects.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>16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Despite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its iconic character, the World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>Heritage Fund is only representative of a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rst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and rather modest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generation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646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646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0" w:after="0" w:line="200" w:lineRule="exact"/>
        <w:ind w:left="2646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w w:val="108"/>
          <w:sz w:val="17"/>
          <w:szCs w:val="17"/>
          <w:vertAlign w:val="superscript"/>
          <w:lang w:val="en-US"/>
        </w:rPr>
        <w:t>9</w:t>
      </w:r>
      <w:r w:rsidRPr="00B56D34">
        <w:rPr>
          <w:rFonts w:ascii="Times New Roman" w:hAnsi="Times New Roman"/>
          <w:color w:val="000000"/>
          <w:w w:val="108"/>
          <w:sz w:val="16"/>
          <w:szCs w:val="16"/>
          <w:lang w:val="en-US"/>
        </w:rPr>
        <w:t xml:space="preserve"> Convention Concerning the Protection of the World Cultural and Natural Heritage, 16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November 1972, 1037 UNTS 151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WHC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10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Ramsar</w:t>
      </w:r>
      <w:proofErr w:type="spellEnd"/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Convention on Wetlands of International Importance, especially as Waterfowl Habitat,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3" w:after="0" w:line="200" w:lineRule="exact"/>
        <w:ind w:left="2780" w:right="72"/>
        <w:jc w:val="both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2 February 1971, 996 UNTS 245 (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‘</w:t>
      </w:r>
      <w:proofErr w:type="spellStart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Ramsar</w:t>
      </w:r>
      <w:proofErr w:type="spell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Convention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). The fund was established by the 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Resolution on a Wetland Conservation Fund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, Resolution 4.3 (1990). In fact, this mechanism </w:t>
      </w:r>
      <w:proofErr w:type="gram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is known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as the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‘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Ramsar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Small Grants Fund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3"/>
          <w:sz w:val="17"/>
          <w:szCs w:val="17"/>
          <w:vertAlign w:val="superscript"/>
          <w:lang w:val="en-US"/>
        </w:rPr>
        <w:t>11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Basel</w:t>
      </w:r>
      <w:proofErr w:type="gram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Convention on the Control of Transboundary Movements of Hazardous Wastes and 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>Their Disposal, 22 March 1989, 1673 UNTS 57 (</w:t>
      </w:r>
      <w:r w:rsidRPr="00B56D34">
        <w:rPr>
          <w:rFonts w:ascii="Arial" w:hAnsi="Arial" w:cs="Arial"/>
          <w:color w:val="000000"/>
          <w:w w:val="105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>Basel Convention</w:t>
      </w:r>
      <w:r w:rsidRPr="00B56D34">
        <w:rPr>
          <w:rFonts w:ascii="Arial" w:hAnsi="Arial" w:cs="Arial"/>
          <w:color w:val="000000"/>
          <w:w w:val="105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), Art. 14. The COP 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established a </w:t>
      </w:r>
      <w:r w:rsidRPr="00B56D34">
        <w:rPr>
          <w:rFonts w:ascii="Arial" w:hAnsi="Arial" w:cs="Arial"/>
          <w:color w:val="000000"/>
          <w:w w:val="108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w w:val="108"/>
          <w:sz w:val="16"/>
          <w:szCs w:val="16"/>
          <w:lang w:val="en-US"/>
        </w:rPr>
        <w:t>General Trust Fund</w:t>
      </w:r>
      <w:r w:rsidRPr="00B56D34">
        <w:rPr>
          <w:rFonts w:ascii="Arial" w:hAnsi="Arial" w:cs="Arial"/>
          <w:color w:val="000000"/>
          <w:w w:val="108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8"/>
          <w:sz w:val="16"/>
          <w:szCs w:val="16"/>
          <w:lang w:val="en-US"/>
        </w:rPr>
        <w:t xml:space="preserve"> and a</w:t>
      </w:r>
      <w:r w:rsidRPr="00B56D34">
        <w:rPr>
          <w:rFonts w:ascii="Arial" w:hAnsi="Arial" w:cs="Arial"/>
          <w:color w:val="000000"/>
          <w:w w:val="108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8"/>
          <w:sz w:val="16"/>
          <w:szCs w:val="16"/>
          <w:lang w:val="en-US"/>
        </w:rPr>
        <w:t>Trust Fund for Technical Cooperation</w:t>
      </w:r>
      <w:r w:rsidRPr="00B56D34">
        <w:rPr>
          <w:rFonts w:ascii="Arial" w:hAnsi="Arial" w:cs="Arial"/>
          <w:color w:val="000000"/>
          <w:w w:val="108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8"/>
          <w:sz w:val="16"/>
          <w:szCs w:val="16"/>
          <w:lang w:val="en-US"/>
        </w:rPr>
        <w:t xml:space="preserve">. See </w:t>
      </w:r>
      <w:r w:rsidRPr="00B56D34">
        <w:rPr>
          <w:rFonts w:ascii="Times New Roman" w:hAnsi="Times New Roman"/>
          <w:color w:val="000000"/>
          <w:w w:val="108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8"/>
          <w:sz w:val="16"/>
          <w:szCs w:val="16"/>
          <w:lang w:val="en-US"/>
        </w:rPr>
        <w:tab/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Financial Rules of the Conference of the Parties, its subsidiary bodies and the Secretariat of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the Basel Convention on the Control of Transboundary Movements of Hazardous Wastes and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>their Disposal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Decision BC-10/28 (2011).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2"/>
          <w:sz w:val="17"/>
          <w:szCs w:val="17"/>
          <w:vertAlign w:val="superscript"/>
          <w:lang w:val="en-US"/>
        </w:rPr>
        <w:t>12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 Financial</w:t>
      </w:r>
      <w:proofErr w:type="gramEnd"/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Regulations of the World Heritage Fund, available at </w:t>
      </w:r>
      <w:hyperlink r:id="rId15" w:history="1">
        <w:r w:rsidRPr="00B56D34">
          <w:rPr>
            <w:rFonts w:ascii="Times New Roman" w:hAnsi="Times New Roman"/>
            <w:color w:val="000000"/>
            <w:w w:val="102"/>
            <w:sz w:val="16"/>
            <w:szCs w:val="16"/>
            <w:lang w:val="en-US"/>
          </w:rPr>
          <w:t>www.whc.unesco.org</w:t>
        </w:r>
      </w:hyperlink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(last 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visited on 15 March 2013)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Financial Regulations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), Art. 3.1.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13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., Art. 4.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14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Guidelines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for the Implementation of the World Heritage Convention, July 2012, WHC 12/01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>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Guidelines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), para. 235.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175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15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., para. 236.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5" w:after="0" w:line="200" w:lineRule="exact"/>
        <w:ind w:left="2585" w:right="73"/>
        <w:rPr>
          <w:rFonts w:ascii="Times New Roman" w:hAnsi="Times New Roman"/>
          <w:color w:val="000000"/>
          <w:spacing w:val="-2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2"/>
          <w:sz w:val="17"/>
          <w:szCs w:val="17"/>
          <w:vertAlign w:val="superscript"/>
          <w:lang w:val="en-US"/>
        </w:rPr>
        <w:t>16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., para. 225. See M. Bowman, P. Davies and C.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Redgwell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,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Lyster</w:t>
      </w:r>
      <w:r w:rsidRPr="00B56D3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s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International Wildlife Law 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ab/>
        <w:t xml:space="preserve">(Cambridge University Press, 2nd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edn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, 2010), pp. 475</w:t>
      </w:r>
      <w:r w:rsidRPr="00B56D3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7 for concrete examples.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sectPr w:rsidR="00A368D8" w:rsidRPr="00B56D34">
          <w:pgSz w:w="10980" w:h="15120"/>
          <w:pgMar w:top="-20" w:right="1423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75" type="#_x0000_t75" style="position:absolute;left:0;text-align:left;margin-left:161pt;margin-top:1in;width:319pt;height:8pt;z-index:-117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176" type="#_x0000_t75" style="position:absolute;left:0;text-align:left;margin-left:0;margin-top:723pt;width:32pt;height:32pt;z-index:-11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77" type="#_x0000_t75" style="position:absolute;left:0;text-align:left;margin-left:517pt;margin-top:723pt;width:32pt;height:32pt;z-index:-115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78" type="#_x0000_t75" style="position:absolute;left:0;text-align:left;margin-left:517pt;margin-top:0;width:32pt;height:31pt;z-index:-11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79" type="#_x0000_t75" style="position:absolute;left:0;text-align:left;margin-left:0;margin-top:0;width:32pt;height:31pt;z-index:-113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80" type="#_x0000_t75" style="position:absolute;left:0;text-align:left;margin-left:123pt;margin-top:123pt;width:303pt;height:508pt;z-index:-112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6" w:name="Pg353"/>
      <w:bookmarkEnd w:id="6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275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275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Facilitating 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763" w:right="43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of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treaty-speci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 environmental funds.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17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A second generation, capable of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mobilising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far more resources, was introduced with the establishment of the Multilateral Fund within the Montreal Protocol.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59" w:lineRule="exact"/>
        <w:ind w:left="2763" w:right="40" w:firstLine="199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The Multilateral Fund is emblematic in two </w:t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respects.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>18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 On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the one hand,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it is the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rst fund of the second generation, i.e. a fund large enough (more than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US$ 400 million for each period</w:t>
      </w:r>
      <w:r w:rsidRPr="00B56D34"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  <w:t>19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) to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nance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agreed incremental costs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incurred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by developing countries as a result of the conversion of their infrastructure to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comply with an environmental treaty.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On the other hand, the composition of its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governing body, the Executive Committee, which consists of seven developing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countries and seven developed countries (despite the fact that only the developed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countries contribute funds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20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), is an expression of the principle of common but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differentiated responsibilities.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 xml:space="preserve">21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Created by an amendment to the Montreal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Protocol in June 1990, the Fund was established in 1991 and made permanent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 1992 in order to cover the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agreed incremental costs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(as designated under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Article 10(1) of the Protocol).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22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These include costs arising from the conversion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  <w:t xml:space="preserve">or the premature decommissioning of facilities producing controlled substances,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the establishment of new facilities producing substitutes, the import of such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substitutes, or the use of relevant patents and designs, to name a few categories.</w:t>
      </w:r>
      <w:r w:rsidRPr="00B56D34"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  <w:t xml:space="preserve">23 </w:t>
      </w:r>
      <w:r w:rsidRPr="00B56D34"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Decisions about funding are taken by the Committee by consensus or, failing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that, by two thirds of the members present and voting, provided that a double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majority of both developing and developed countries is respected.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24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In practice,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the Committee has always acted by consensus.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The implementation of this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system of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nancial assistance is managed by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implementing agencies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, in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parti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cular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the United Nations Environment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Programme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(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UNEP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), the United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Nations  Development 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Programme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 (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UNDP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),  the  World  Bank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 xml:space="preserve">25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and  the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United Nations Industrial Development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Organisation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(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UNIDO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). An example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may  be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useful  to  understand  how  this  mechanism  operates.  In </w:t>
      </w:r>
      <w:r w:rsidRPr="00B56D34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t xml:space="preserve">2011, </w:t>
      </w:r>
      <w:r w:rsidRPr="00B56D34">
        <w:rPr>
          <w:rFonts w:ascii="Times New Roman" w:hAnsi="Times New Roman"/>
          <w:color w:val="000000"/>
          <w:spacing w:val="-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the Executive Committee approved an amount of US$ 265 million to reduce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the use of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hydrochloro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uorocarbons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(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HCFCs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) pursuant to Article 2E of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>Montreal Protocol.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26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These substances are also potent greenhouse gases. The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30" w:after="0" w:line="200" w:lineRule="exact"/>
        <w:ind w:left="2763" w:right="74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w w:val="104"/>
          <w:sz w:val="17"/>
          <w:szCs w:val="17"/>
          <w:vertAlign w:val="superscript"/>
          <w:lang w:val="en-US"/>
        </w:rPr>
        <w:t>17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 xml:space="preserve">  On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generations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 xml:space="preserve"> of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 xml:space="preserve">nancial mechanisms, see L. </w:t>
      </w:r>
      <w:proofErr w:type="spellStart"/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Boisson</w:t>
      </w:r>
      <w:proofErr w:type="spellEnd"/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 xml:space="preserve"> de </w:t>
      </w:r>
      <w:proofErr w:type="spellStart"/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Chazournes</w:t>
      </w:r>
      <w:proofErr w:type="spellEnd"/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 xml:space="preserve">Technical and 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Financial Assistance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in D.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Bodansky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J.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Brunnée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and E. Hey (eds.), The Oxford Handbook of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>International Environmental Law (Oxford University Press, 2007), pp. 948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72.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00" w:lineRule="exact"/>
        <w:ind w:left="2763" w:right="74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5"/>
          <w:sz w:val="17"/>
          <w:szCs w:val="17"/>
          <w:vertAlign w:val="superscript"/>
          <w:lang w:val="en-US"/>
        </w:rPr>
        <w:t>18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 On</w:t>
      </w:r>
      <w:proofErr w:type="gramEnd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this mechanism, see P. Lawrence,</w:t>
      </w:r>
      <w:r w:rsidRPr="00B56D34">
        <w:rPr>
          <w:rFonts w:ascii="Arial" w:hAnsi="Arial" w:cs="Arial"/>
          <w:color w:val="000000"/>
          <w:w w:val="105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Technology Transfer Funds and the Law: Recent 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Amendments to the Montreal Protocol on Substances that Deplete the Ozone Layer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(1992) 4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Journal of Environmental Law 15.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763"/>
        <w:rPr>
          <w:rFonts w:ascii="Times New Roman" w:hAnsi="Times New Roman"/>
          <w:color w:val="000000"/>
          <w:spacing w:val="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19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 The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periods were asfollows:1991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3,1994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6, 1997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9,2000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2,2003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5,2006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8,2009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11,2012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14.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3" w:after="0" w:line="200" w:lineRule="exact"/>
        <w:ind w:left="2763" w:right="75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20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Montreal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Protocol, supra n. 4, Art. 10(5)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(6); Terms of Reference of the Executive Committee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>as Modi</w:t>
      </w:r>
      <w:r w:rsidRPr="00B56D34">
        <w:rPr>
          <w:rFonts w:ascii="Arial" w:hAnsi="Arial" w:cs="Arial"/>
          <w:color w:val="000000"/>
          <w:w w:val="102"/>
          <w:sz w:val="16"/>
          <w:szCs w:val="16"/>
          <w:lang w:val="en-US"/>
        </w:rPr>
        <w:t>fi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ed by the Ninth Meeting of the Parties in its Decision IX/16, 25 September 1997, 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UNEP/OzL.Pro.9/12, Annex V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Terms of Reference of the Executive Committee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), para. 2. The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 xml:space="preserve">Terms of Reference </w:t>
      </w:r>
      <w:proofErr w:type="gram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have been revised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several times. </w:t>
      </w:r>
    </w:p>
    <w:p w:rsidR="00A368D8" w:rsidRDefault="00BB3753">
      <w:pPr>
        <w:widowControl w:val="0"/>
        <w:tabs>
          <w:tab w:val="left" w:pos="4005"/>
        </w:tabs>
        <w:autoSpaceDE w:val="0"/>
        <w:autoSpaceDN w:val="0"/>
        <w:adjustRightInd w:val="0"/>
        <w:spacing w:before="14" w:after="0" w:line="184" w:lineRule="exact"/>
        <w:ind w:left="2763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21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Chapter 3.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Montreal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Protocol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, supra n. 4, Art. 10(1).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pacing w:val="-4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4"/>
          <w:sz w:val="17"/>
          <w:szCs w:val="17"/>
          <w:vertAlign w:val="superscript"/>
          <w:lang w:val="en-US"/>
        </w:rPr>
        <w:t>23</w:t>
      </w:r>
      <w:r w:rsidRPr="00B56D34">
        <w:rPr>
          <w:rFonts w:ascii="Times New Roman" w:hAnsi="Times New Roman"/>
          <w:color w:val="000000"/>
          <w:spacing w:val="-4"/>
          <w:sz w:val="16"/>
          <w:szCs w:val="16"/>
          <w:lang w:val="en-US"/>
        </w:rPr>
        <w:t xml:space="preserve">  Indicative</w:t>
      </w:r>
      <w:proofErr w:type="gramEnd"/>
      <w:r w:rsidRPr="00B56D34">
        <w:rPr>
          <w:rFonts w:ascii="Times New Roman" w:hAnsi="Times New Roman"/>
          <w:color w:val="000000"/>
          <w:spacing w:val="-4"/>
          <w:sz w:val="16"/>
          <w:szCs w:val="16"/>
          <w:lang w:val="en-US"/>
        </w:rPr>
        <w:t xml:space="preserve"> List of Agreed Incremental Costs, 25 November 1992, UNEP/OzL.Pro.4/15, Annex VIII. </w:t>
      </w:r>
    </w:p>
    <w:p w:rsidR="00A368D8" w:rsidRDefault="00BB3753">
      <w:pPr>
        <w:widowControl w:val="0"/>
        <w:autoSpaceDE w:val="0"/>
        <w:autoSpaceDN w:val="0"/>
        <w:adjustRightInd w:val="0"/>
        <w:spacing w:before="1" w:after="0" w:line="179" w:lineRule="exact"/>
        <w:ind w:left="2763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24</w:t>
      </w:r>
      <w:r>
        <w:rPr>
          <w:rFonts w:ascii="Times New Roman" w:hAnsi="Times New Roman"/>
          <w:color w:val="000000"/>
          <w:sz w:val="16"/>
          <w:szCs w:val="16"/>
        </w:rPr>
        <w:t xml:space="preserve">  Montreal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Protocol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, supra n. 4, Art. 10(9).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7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25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Terms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of Reference for the Multilateral Fund, supra n. 4, para. 2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7.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pacing w:val="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26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 Montreal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Protocol, supra n. 4, Art. 2F and Annex C (Group I).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sectPr w:rsidR="00A368D8" w:rsidRPr="00B56D34">
          <w:pgSz w:w="10980" w:h="15120"/>
          <w:pgMar w:top="-20" w:right="124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81" type="#_x0000_t75" style="position:absolute;left:0;text-align:left;margin-left:152pt;margin-top:1in;width:319pt;height:8pt;z-index:-111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182" type="#_x0000_t75" style="position:absolute;left:0;text-align:left;margin-left:0;margin-top:723pt;width:32pt;height:32pt;z-index:-11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83" type="#_x0000_t75" style="position:absolute;left:0;text-align:left;margin-left:517pt;margin-top:723pt;width:32pt;height:32pt;z-index:-109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84" type="#_x0000_t75" style="position:absolute;left:0;text-align:left;margin-left:517pt;margin-top:0;width:32pt;height:31pt;z-index:-108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85" type="#_x0000_t75" style="position:absolute;left:0;text-align:left;margin-left:0;margin-top:0;width:32pt;height:31pt;z-index:-107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86" type="#_x0000_t75" style="position:absolute;left:0;text-align:left;margin-left:123pt;margin-top:123pt;width:303pt;height:508pt;z-index:-106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7" w:name="Pg354"/>
      <w:bookmarkEnd w:id="7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276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276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585" w:right="40"/>
        <w:jc w:val="both"/>
        <w:rPr>
          <w:rFonts w:ascii="Times New Roman" w:hAnsi="Times New Roman"/>
          <w:color w:val="000000"/>
          <w:spacing w:val="-4"/>
          <w:sz w:val="20"/>
          <w:szCs w:val="20"/>
          <w:lang w:val="en-US"/>
        </w:rPr>
      </w:pPr>
      <w:proofErr w:type="gramStart"/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nancial</w:t>
      </w:r>
      <w:proofErr w:type="gramEnd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assistance is to be used for the conversion of hundreds of assembly lines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that currently use HCFCs.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As part of this project, which should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rst freeze and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then reduce the consumption of HCFCs, China will be assisted by UNDP,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UNEP, UNIDO, the World Bank and the German and Japanese governments.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 xml:space="preserve">27 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All in all, the Multilateral Fund can be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characterised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by reference to three key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features: coverage of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agreed incremental costs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incurred by developing countries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to comply  with the  treaty;  decision-making  by a  Committee with  equal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membership of developed and developing countries; the implementation of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assistance by</w:t>
      </w:r>
      <w:r w:rsidRPr="00B56D34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implementing agencies</w:t>
      </w:r>
      <w:r w:rsidRPr="00B56D34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.</w:t>
      </w:r>
      <w:proofErr w:type="gramEnd"/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As discussed next, negotiations on climate 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nance have deviated from this template on some signi</w:t>
      </w:r>
      <w:r w:rsidRPr="00B56D34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cant points.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585" w:right="42" w:firstLine="199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The third illustration of a treaty-speci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 environmental fund is the recent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creation of the Green Climate Fund (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GCF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).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28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This Fund was established by a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decision of the Conference of the Parties (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COP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) of the UN Framework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1"/>
          <w:sz w:val="20"/>
          <w:szCs w:val="20"/>
          <w:lang w:val="en-US"/>
        </w:rPr>
        <w:t>Convention on Climate Change (</w:t>
      </w:r>
      <w:r w:rsidRPr="00B56D34">
        <w:rPr>
          <w:rFonts w:ascii="Arial" w:hAnsi="Arial" w:cs="Arial"/>
          <w:color w:val="000000"/>
          <w:w w:val="10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1"/>
          <w:sz w:val="20"/>
          <w:szCs w:val="20"/>
          <w:lang w:val="en-US"/>
        </w:rPr>
        <w:t>UNFCCC</w:t>
      </w:r>
      <w:r w:rsidRPr="00B56D34">
        <w:rPr>
          <w:rFonts w:ascii="Arial" w:hAnsi="Arial" w:cs="Arial"/>
          <w:color w:val="000000"/>
          <w:w w:val="10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1"/>
          <w:sz w:val="20"/>
          <w:szCs w:val="20"/>
          <w:lang w:val="en-US"/>
        </w:rPr>
        <w:t>)</w:t>
      </w:r>
      <w:r w:rsidRPr="00B56D34">
        <w:rPr>
          <w:rFonts w:ascii="Times New Roman" w:hAnsi="Times New Roman"/>
          <w:color w:val="000000"/>
          <w:w w:val="101"/>
          <w:sz w:val="21"/>
          <w:szCs w:val="21"/>
          <w:vertAlign w:val="superscript"/>
          <w:lang w:val="en-US"/>
        </w:rPr>
        <w:t>29</w:t>
      </w:r>
      <w:r w:rsidRPr="00B56D34">
        <w:rPr>
          <w:rFonts w:ascii="Times New Roman" w:hAnsi="Times New Roman"/>
          <w:color w:val="000000"/>
          <w:w w:val="101"/>
          <w:sz w:val="20"/>
          <w:szCs w:val="20"/>
          <w:lang w:val="en-US"/>
        </w:rPr>
        <w:t xml:space="preserve"> in December 2011, but it is </w:t>
      </w:r>
      <w:r w:rsidRPr="00B56D34">
        <w:rPr>
          <w:rFonts w:ascii="Times New Roman" w:hAnsi="Times New Roman"/>
          <w:color w:val="000000"/>
          <w:w w:val="10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the result of a process that had already begun in 2006 and that was strength-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ened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at the Copenhagen Conference in December 2009.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The controversial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Copenhagen  Accord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 focused  on  the  creation  of  a  fund  to  </w:t>
      </w:r>
      <w:proofErr w:type="spell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mobilise</w:t>
      </w:r>
      <w:proofErr w:type="spell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considerable resources (US$ 100 billion per year in 2020), an idea that was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taken up by the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Cancun Agreements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in December 2010 and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crystallised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at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Durban Conference in 2011.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30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Despite the fact that at the time of writing,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GCF was only starting its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nancing operations, its institutional architecture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merits attention because it largely re</w:t>
      </w:r>
      <w:r w:rsidRPr="00B56D34">
        <w:rPr>
          <w:rFonts w:ascii="Arial" w:hAnsi="Arial" w:cs="Arial"/>
          <w:color w:val="000000"/>
          <w:w w:val="107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ects the lessons accumulated over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decades of experience in the development of environmental funds.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From this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>standpoint,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ve main features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must be highlighted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585" w:right="42" w:firstLine="199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First, regarding the decision-making power in respect of the allocation of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funds, it is in the hands of a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Board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with equal membership (twelve members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representing developed countries and twelve members representing develop-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ing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countries).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31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Decisions are taken by consensus and the Board has to adopt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regulations  governing  cases  where  consensus  cannot  be  reached.</w:t>
      </w:r>
      <w:r w:rsidRPr="00B56D34">
        <w:rPr>
          <w:rFonts w:ascii="Times New Roman" w:hAnsi="Times New Roman"/>
          <w:color w:val="000000"/>
          <w:w w:val="108"/>
          <w:sz w:val="21"/>
          <w:szCs w:val="21"/>
          <w:vertAlign w:val="superscript"/>
          <w:lang w:val="en-US"/>
        </w:rPr>
        <w:t xml:space="preserve">32 </w:t>
      </w:r>
      <w:r w:rsidRPr="00B56D34">
        <w:rPr>
          <w:rFonts w:ascii="Times New Roman" w:hAnsi="Times New Roman"/>
          <w:color w:val="000000"/>
          <w:w w:val="108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Signi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cantly, the Board felt the need to de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ne the term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consensus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33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perhaps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because of the controversy over the scope of this principle raised by the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decision-making procedure of the UNFCCC COP in Cancun and Doha.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585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110" w:after="0" w:line="200" w:lineRule="exact"/>
        <w:ind w:left="2585" w:right="75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27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 See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China Commits to Landmark Agreement on Dual Ozone and Climate Bene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ts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, 29 July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2011, available at: </w:t>
      </w:r>
      <w:hyperlink r:id="rId16" w:history="1">
        <w:r w:rsidRPr="00B56D34">
          <w:rPr>
            <w:rFonts w:ascii="Times New Roman" w:hAnsi="Times New Roman"/>
            <w:color w:val="000000"/>
            <w:spacing w:val="-1"/>
            <w:sz w:val="16"/>
            <w:szCs w:val="16"/>
            <w:lang w:val="en-US"/>
          </w:rPr>
          <w:t>www.multilateralfund.org</w:t>
        </w:r>
      </w:hyperlink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(last visited on 15 March 2013).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4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2"/>
          <w:sz w:val="17"/>
          <w:szCs w:val="17"/>
          <w:vertAlign w:val="superscript"/>
          <w:lang w:val="en-US"/>
        </w:rPr>
        <w:t>28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 Implementation</w:t>
      </w:r>
      <w:proofErr w:type="gramEnd"/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of the Green Climate Fund, Decision 3/CP.17, 15 March 2012, FCCC/CP/ 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2011/9/Add.1, Annex: Governing Instrument for the Green Climate Fund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GCF Instrument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 xml:space="preserve">On this instrument, see L.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Schalatek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and S.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Nakhooda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The Green Climate Fund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(November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 xml:space="preserve">2012) 11 Climate Finance Fundamentals.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29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UN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Framework Convention on Climate Change, 9 May 1992, 1771 UNTS 107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UNFCCC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5829"/>
        </w:tabs>
        <w:autoSpaceDE w:val="0"/>
        <w:autoSpaceDN w:val="0"/>
        <w:adjustRightInd w:val="0"/>
        <w:spacing w:before="16" w:after="0" w:line="184" w:lineRule="exact"/>
        <w:ind w:left="2585"/>
        <w:rPr>
          <w:rFonts w:ascii="Times New Roman" w:hAnsi="Times New Roman"/>
          <w:color w:val="000000"/>
          <w:spacing w:val="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30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On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climate negotiations, see supra Chapter 5.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/>
          <w:color w:val="000000"/>
          <w:spacing w:val="1"/>
          <w:sz w:val="17"/>
          <w:szCs w:val="17"/>
          <w:vertAlign w:val="superscript"/>
        </w:rPr>
        <w:t>31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 GCF</w:t>
      </w:r>
      <w:proofErr w:type="gram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16"/>
          <w:szCs w:val="16"/>
        </w:rPr>
        <w:t>Instrument</w:t>
      </w:r>
      <w:proofErr w:type="spell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, supra n. 28, para.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9.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32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., para. 14.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7" w:after="0" w:line="195" w:lineRule="exact"/>
        <w:ind w:left="2585" w:right="74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33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Revised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Draft Additional Rules of Procedure of the Board, 12 March 2013, GCF/B.01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13/02/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Rev.01, Annex IX: Additional Rules of Procedure relating to Decision-making and Voting 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Additional Rules of Procedure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), para. </w:t>
      </w:r>
      <w:proofErr w:type="gram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1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Decisions of the Board will be taken by consensus.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Consensus exists when no objection is stated by any Board member or alternate member acting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>on behalf of a Board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sectPr w:rsidR="00A368D8" w:rsidRPr="00B56D34">
          <w:pgSz w:w="10980" w:h="15120"/>
          <w:pgMar w:top="-20" w:right="1422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87" type="#_x0000_t75" style="position:absolute;left:0;text-align:left;margin-left:161pt;margin-top:1in;width:319pt;height:8pt;z-index:-105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188" type="#_x0000_t75" style="position:absolute;left:0;text-align:left;margin-left:0;margin-top:723pt;width:32pt;height:32pt;z-index:-10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89" type="#_x0000_t75" style="position:absolute;left:0;text-align:left;margin-left:517pt;margin-top:723pt;width:32pt;height:32pt;z-index:-103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90" type="#_x0000_t75" style="position:absolute;left:0;text-align:left;margin-left:517pt;margin-top:0;width:32pt;height:31pt;z-index:-10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91" type="#_x0000_t75" style="position:absolute;left:0;text-align:left;margin-left:0;margin-top:0;width:32pt;height:31pt;z-index:-101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92" type="#_x0000_t75" style="position:absolute;left:0;text-align:left;margin-left:123pt;margin-top:123pt;width:303pt;height:508pt;z-index:-10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8" w:name="Pg355"/>
      <w:bookmarkEnd w:id="8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277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277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Facilitating 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763" w:right="40" w:firstLine="199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The second point concerns the Board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s relations with, on the one hand,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COP and, on the other, the fund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Trustee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(provisionally the World Bank).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The GCF is an independent entity, but it serves as a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nancial mechanism of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UNFCCC under Article 11 of the convention. This places the GCF in a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subordinate position as regards the COP. </w:t>
      </w:r>
      <w:proofErr w:type="gram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The instrument establishing the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GCF only states that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arrangements will be concluded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to this effect and sets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some general parameters, including the need to comply with the general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guidelines of, and submit annual reports to, the COP.</w:t>
      </w:r>
      <w:r w:rsidRPr="00B56D34">
        <w:rPr>
          <w:rFonts w:ascii="Times New Roman" w:hAnsi="Times New Roman"/>
          <w:color w:val="000000"/>
          <w:w w:val="107"/>
          <w:sz w:val="21"/>
          <w:szCs w:val="21"/>
          <w:vertAlign w:val="superscript"/>
          <w:lang w:val="en-US"/>
        </w:rPr>
        <w:t>34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  In practice, this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formula conceals the divergent views between developing States (funding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recipients) who want more control of the GCF by the COP, and developed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countries that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favour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greater freedom.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 divergence of views has also played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out in the election of the administrator (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Trustee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) who actually receives and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holds the funds, even though it is managed in accordance with the decisions of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Board. At the request of the COP (on the initiative of donor countries), the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World Bank acts as an interim Trustee for a period of three years.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35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3" w:after="0" w:line="257" w:lineRule="exact"/>
        <w:ind w:left="2763" w:right="40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The third element is the source of the funds. The GCF 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is expected</w:t>
      </w:r>
      <w:proofErr w:type="gram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to become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most important mechanism in terms of the funds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mobilised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. The objective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is to </w:t>
      </w:r>
      <w:proofErr w:type="spell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mobilise</w:t>
      </w:r>
      <w:proofErr w:type="spell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US$ 100 billion per year by 2020, although this target is probably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too ambitious. One way to come closer to this target would be to use available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public funds as the basis to raise much greater private funds. This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is expressly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provided for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in the GCF Instrument. In fact, paragraph 30 provides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[t]he Fund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may also receive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nancial inputs from a variety of other sources, public and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private, including alternative sources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763" w:right="40" w:firstLine="199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A fourth important aspect of the architecture of the GCF is how it will </w:t>
      </w:r>
      <w:proofErr w:type="spellStart"/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organise</w:t>
      </w:r>
      <w:proofErr w:type="spellEnd"/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the distribution of the funds. 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This may include providing funds to implementing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entities or </w:t>
      </w:r>
      <w:proofErr w:type="spellStart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organisations</w:t>
      </w:r>
      <w:proofErr w:type="spellEnd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in charge of funding speci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c projects or, conversely, the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GCF could directly undertake such funding activities, which would require a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more sophisticated administrative structure.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>36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 instrument suggests that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rst model will be followed, with the GCF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channelling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its resources through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international, regional but also national implementing entities accredited by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>Board.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>37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 role of domestic authorities is speci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cally addressed to ensure co-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ordination among the proposals submitted for funding in a given country and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consistency with the national mitigation and adaptation plans.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4" w:after="0" w:line="256" w:lineRule="exact"/>
        <w:ind w:left="2763" w:right="40" w:firstLine="199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Finally, a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fth element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characterising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the GCF is that, unlike other funds, it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can  cover  not  only </w:t>
      </w:r>
      <w:r w:rsidRPr="00B56D34">
        <w:rPr>
          <w:rFonts w:ascii="Arial" w:hAnsi="Arial" w:cs="Arial"/>
          <w:color w:val="000000"/>
          <w:spacing w:val="3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agreed  incremental  costs</w:t>
      </w:r>
      <w:r w:rsidRPr="00B56D34">
        <w:rPr>
          <w:rFonts w:ascii="Arial" w:hAnsi="Arial" w:cs="Arial"/>
          <w:color w:val="000000"/>
          <w:spacing w:val="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  incurred  by  developing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countries but also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agreed full costs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of projects related to adaptation,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mitiga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tion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, technology transfer and capacity building.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38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These are the basic features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of the GCF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s architecture. They owe much to a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nancial mechanism that we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will study next, namely the GEF.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5491"/>
        </w:tabs>
        <w:autoSpaceDE w:val="0"/>
        <w:autoSpaceDN w:val="0"/>
        <w:adjustRightInd w:val="0"/>
        <w:spacing w:before="152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pacing w:val="1"/>
          <w:sz w:val="17"/>
          <w:szCs w:val="17"/>
          <w:vertAlign w:val="superscript"/>
        </w:rPr>
        <w:t>34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 GCF</w:t>
      </w:r>
      <w:proofErr w:type="gram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16"/>
          <w:szCs w:val="16"/>
        </w:rPr>
        <w:t>Instrument</w:t>
      </w:r>
      <w:proofErr w:type="spell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, supra n. 28, para.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6.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35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., para. 26. </w:t>
      </w:r>
    </w:p>
    <w:p w:rsidR="00A368D8" w:rsidRPr="00B56D34" w:rsidRDefault="00BB3753">
      <w:pPr>
        <w:widowControl w:val="0"/>
        <w:tabs>
          <w:tab w:val="left" w:pos="5818"/>
        </w:tabs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36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Schalatek</w:t>
      </w:r>
      <w:proofErr w:type="spellEnd"/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and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Nakhooda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supra n. 28, p. 2.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37</w:t>
      </w:r>
      <w:r>
        <w:rPr>
          <w:rFonts w:ascii="Times New Roman" w:hAnsi="Times New Roman"/>
          <w:color w:val="000000"/>
          <w:sz w:val="16"/>
          <w:szCs w:val="16"/>
        </w:rPr>
        <w:t xml:space="preserve">  GCF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Instrument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, supra n. 28, para.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45.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38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., para. 35.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246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93" type="#_x0000_t75" style="position:absolute;left:0;text-align:left;margin-left:152pt;margin-top:1in;width:319pt;height:8pt;z-index:-99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194" type="#_x0000_t75" style="position:absolute;left:0;text-align:left;margin-left:0;margin-top:723pt;width:32pt;height:32pt;z-index:-9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195" type="#_x0000_t75" style="position:absolute;left:0;text-align:left;margin-left:517pt;margin-top:723pt;width:32pt;height:32pt;z-index:-97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196" type="#_x0000_t75" style="position:absolute;left:0;text-align:left;margin-left:517pt;margin-top:0;width:32pt;height:31pt;z-index:-9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197" type="#_x0000_t75" style="position:absolute;left:0;text-align:left;margin-left:0;margin-top:0;width:32pt;height:31pt;z-index:-95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198" type="#_x0000_t75" style="position:absolute;left:0;text-align:left;margin-left:123pt;margin-top:123pt;width:303pt;height:508pt;z-index:-94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9" w:name="Pg356"/>
      <w:bookmarkEnd w:id="9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278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278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585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3350"/>
        </w:tabs>
        <w:autoSpaceDE w:val="0"/>
        <w:autoSpaceDN w:val="0"/>
        <w:adjustRightInd w:val="0"/>
        <w:spacing w:before="136" w:after="0" w:line="241" w:lineRule="exact"/>
        <w:ind w:left="2585"/>
        <w:rPr>
          <w:rFonts w:ascii="Arial" w:hAnsi="Arial" w:cs="Arial"/>
          <w:color w:val="000000"/>
          <w:spacing w:val="-7"/>
          <w:w w:val="85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 xml:space="preserve">9.2.2.1.3 </w:t>
      </w: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5"/>
          <w:sz w:val="21"/>
          <w:szCs w:val="21"/>
          <w:lang w:val="en-US"/>
        </w:rPr>
        <w:t xml:space="preserve">General environmental funds: the GEF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8" w:after="0" w:line="255" w:lineRule="exact"/>
        <w:ind w:left="2585" w:right="40"/>
        <w:jc w:val="both"/>
        <w:rPr>
          <w:rFonts w:ascii="Times New Roman" w:hAnsi="Times New Roman"/>
          <w:color w:val="000000"/>
          <w:spacing w:val="-3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The Global Environmental Fund (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GEF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)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>39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 is the main example of a general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>environmental fund that is not treaty-speci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c. Initially set up as a prototype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(1991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4), the GEF was established as an independent entity in 1994.</w:t>
      </w:r>
      <w:r w:rsidRPr="00B56D34"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  <w:t>40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As for the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  <w:t>GCF, we will focus on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ve main architectural features of the GEF, namely (</w:t>
      </w:r>
      <w:proofErr w:type="spellStart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i</w:t>
      </w:r>
      <w:proofErr w:type="spellEnd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) the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  <w:t xml:space="preserve">decision-making power, (ii) relations with the COP, (iii) the source of funds,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585" w:right="40"/>
        <w:jc w:val="both"/>
        <w:rPr>
          <w:rFonts w:ascii="Times New Roman" w:hAnsi="Times New Roman"/>
          <w:color w:val="000000"/>
          <w:spacing w:val="-3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(iv) </w:t>
      </w:r>
      <w:proofErr w:type="gramStart"/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the</w:t>
      </w:r>
      <w:proofErr w:type="gramEnd"/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implementation of assistance, and (v) the type of costs covered. </w:t>
      </w:r>
      <w:proofErr w:type="gramStart"/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However, 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the main feature of the GEF, when compared to other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nancial mechanisms, is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its general purpose or, in other words, its coverage of several areas, whether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addressed by 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 treaty regimes (biodiversity, climate change,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deserti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ca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tion</w:t>
      </w:r>
      <w:proofErr w:type="spell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, depletion of the ozone layer and persistent organic pollutants) or not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(international waters).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>41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 GEF serves as the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nancial mechanism of several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environmental treaties, but it has a broader scope.</w:t>
      </w:r>
      <w:proofErr w:type="gramEnd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This has often caused frictions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  <w:t xml:space="preserve">with the respective COPs, as discussed in this section.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585" w:right="40" w:firstLine="199"/>
        <w:jc w:val="both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Regarding,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rst, the decision-making power, it rests on a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Council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composed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of thirty-two members (sixteen developing countries, fourteen developed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coun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tries and two transition States)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>42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 that normally acts by consensus but, when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consensus is not possible, decisions are taken by a</w:t>
      </w:r>
      <w:r w:rsidRPr="00B56D34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double weighted majority</w:t>
      </w:r>
      <w:r w:rsidRPr="00B56D34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(an 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rmative vote representing both a 60 per cent majority of the total number of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participants and a 60 per cent majority of the total contributions).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43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This system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is a compromise between the interests of donor States (who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favoured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the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weighted system of the World Bank) and developing countries that supported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an equal-weight approach.</w:t>
      </w:r>
      <w:proofErr w:type="gram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3" w:after="0" w:line="257" w:lineRule="exact"/>
        <w:ind w:left="2585" w:right="41" w:firstLine="199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Relations between the GEF and COPs have raised a number of dif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culties.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origin of these is the tension between developing countries, which seek to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have greater control over the allocation of funds (via the COP), and developed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countries, in particular donors, which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favour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a more autonomous model.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GEF has concluded agreements (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memoranda of understanding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) with the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  <w:t xml:space="preserve">secretariats of the respective treaties, subsequently approved by the COPs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  <w:t xml:space="preserve">and annexed to a decision. However, as a general matter, relationships are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organised</w:t>
      </w:r>
      <w:proofErr w:type="spell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in a rather broad fashion, with the COPs having the power to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establish general policies for the allocation of funds and the GEF Council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keeping responsibility for making decisions on 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 projects.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44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585" w:right="41" w:firstLine="199"/>
        <w:jc w:val="both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Regarding the origin of the funds, they take the form of contributions by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participant States to the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Trustee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, namely the World Bank, during four-year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periods of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replenishment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’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45</w:t>
      </w:r>
      <w:proofErr w:type="gram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which start with participants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pledges to contribute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585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70" w:after="0" w:line="200" w:lineRule="exact"/>
        <w:ind w:left="2585" w:right="7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39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A. S. Miller,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The Global Environmental Facility and the Search for Financial Strategies to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>Foster Sustainable Development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(1999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2000) 24 Vermont Law Review 1229.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4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3"/>
          <w:sz w:val="17"/>
          <w:szCs w:val="17"/>
          <w:vertAlign w:val="superscript"/>
          <w:lang w:val="en-US"/>
        </w:rPr>
        <w:t>40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The</w:t>
      </w:r>
      <w:proofErr w:type="gram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instrument establishing the GEF was revised several times thereafter. For the current 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1"/>
          <w:sz w:val="16"/>
          <w:szCs w:val="16"/>
          <w:lang w:val="en-US"/>
        </w:rPr>
        <w:t xml:space="preserve">version, see </w:t>
      </w:r>
      <w:r w:rsidRPr="00B56D34">
        <w:rPr>
          <w:rFonts w:ascii="Arial" w:hAnsi="Arial" w:cs="Arial"/>
          <w:color w:val="000000"/>
          <w:w w:val="106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 xml:space="preserve">Instrument for the Establishment of the Restructured Global Environment 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Facility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(October 2011)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GEF Instrument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3743"/>
          <w:tab w:val="left" w:pos="4977"/>
        </w:tabs>
        <w:autoSpaceDE w:val="0"/>
        <w:autoSpaceDN w:val="0"/>
        <w:adjustRightInd w:val="0"/>
        <w:spacing w:before="14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41</w:t>
      </w:r>
      <w:r>
        <w:rPr>
          <w:rFonts w:ascii="Times New Roman" w:hAnsi="Times New Roman"/>
          <w:color w:val="000000"/>
          <w:sz w:val="16"/>
          <w:szCs w:val="16"/>
        </w:rPr>
        <w:t xml:space="preserve">  Ibid.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para. 2. 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42</w:t>
      </w:r>
      <w:r>
        <w:rPr>
          <w:rFonts w:ascii="Times New Roman" w:hAnsi="Times New Roman"/>
          <w:color w:val="000000"/>
          <w:sz w:val="16"/>
          <w:szCs w:val="16"/>
        </w:rPr>
        <w:t xml:space="preserve">  Ibid.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para. 16. 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43</w:t>
      </w:r>
      <w:r>
        <w:rPr>
          <w:rFonts w:ascii="Times New Roman" w:hAnsi="Times New Roman"/>
          <w:color w:val="000000"/>
          <w:sz w:val="16"/>
          <w:szCs w:val="16"/>
        </w:rPr>
        <w:t xml:space="preserve">  Ibid.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para.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25(b) and (c</w:t>
      </w:r>
      <w:proofErr w:type="gram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)(</w:t>
      </w:r>
      <w:proofErr w:type="spellStart"/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i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4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44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., para. 6(a). See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Strengthening Relations with the Conventions in the GEF Network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, 21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April 2011, GEF/C.40/15.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179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45</w:t>
      </w:r>
      <w:r>
        <w:rPr>
          <w:rFonts w:ascii="Times New Roman" w:hAnsi="Times New Roman"/>
          <w:color w:val="000000"/>
          <w:sz w:val="16"/>
          <w:szCs w:val="16"/>
        </w:rPr>
        <w:t xml:space="preserve">  GEF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Instrument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, supra n. 40, para.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10.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422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199" type="#_x0000_t75" style="position:absolute;left:0;text-align:left;margin-left:161pt;margin-top:1in;width:319pt;height:8pt;z-index:-93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00" type="#_x0000_t75" style="position:absolute;left:0;text-align:left;margin-left:0;margin-top:723pt;width:32pt;height:32pt;z-index:-9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01" type="#_x0000_t75" style="position:absolute;left:0;text-align:left;margin-left:517pt;margin-top:723pt;width:32pt;height:32pt;z-index:-91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02" type="#_x0000_t75" style="position:absolute;left:0;text-align:left;margin-left:517pt;margin-top:0;width:32pt;height:31pt;z-index:-90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03" type="#_x0000_t75" style="position:absolute;left:0;text-align:left;margin-left:0;margin-top:0;width:32pt;height:31pt;z-index:-89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04" type="#_x0000_t75" style="position:absolute;left:0;text-align:left;margin-left:123pt;margin-top:123pt;width:303pt;height:508pt;z-index:-88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0" w:name="Pg357"/>
      <w:bookmarkEnd w:id="10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279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279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Facilitating 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763" w:right="40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certain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amounts. From this perspective, the GEF is a form of public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nance. So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far, the GEF has undergone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ve replenishment periods and a sixth one </w:t>
      </w: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was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initiated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in 2013. Since its inception until 2013, the GEF had invested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approxi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mately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US$ 11.5 billion in about 3,200 projects related to its areas of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interven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tion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. More important are the amounts from other sources, including private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sources, which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have been leveraged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through GEF activities (US$ 57 billion).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These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hybrid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activities are undoubtedly one of the most realistic ways to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mobilise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the amounts required to meet large-scale environmental challenges.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As already noted, the GEF is not the only mechanism that has leveraged its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impact through a resort to private funds. The growing role of private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nance and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market logic that drives its operations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have been met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with some reluctance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from developing countries, which see this source of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nancing as insuf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ciently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predictable and more dif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cult to manage. This is yet another manifestation of a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common tension between pragmatism and equity, which underpins many areas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of global environmental governance.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5" w:after="0" w:line="255" w:lineRule="exact"/>
        <w:ind w:left="2763" w:right="43" w:firstLine="199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nancial assistance provided by the GEF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is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channelled</w:t>
      </w:r>
      <w:proofErr w:type="spellEnd"/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through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imple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menting agencies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. These include, mainly, UNDP, UNEP, and the World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Bank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46</w:t>
      </w:r>
      <w:proofErr w:type="gramEnd"/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although the GEF currently operates through ten implementing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agencies,  including  the  regional  development  and  co-operation  banks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(African, Asian, European, and Inter-American).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763" w:right="42" w:firstLine="199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Finally, as regards the type of expenditure covered by the GEF, in principle it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only covers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agreed incremental costs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of measures taken within its areas of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intervention.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 xml:space="preserve">47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We have </w:t>
      </w:r>
      <w:proofErr w:type="spellStart"/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characterised</w:t>
      </w:r>
      <w:proofErr w:type="spellEnd"/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 this notion in our analysis of the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Multilateral Fund of the Montreal Protocol, where this concept made its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rst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appearance. An exception to this principle concerns the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agreed full costs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 xml:space="preserve">’ 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involved in performing the procedural obligations set out in Article 12(1) of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 UNFCCC, which may also be covered by the GEF.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48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763" w:right="42" w:firstLine="199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As suggested by the foregoing discussion, there are many common </w:t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fea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tures</w:t>
      </w:r>
      <w:proofErr w:type="spell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between the GEF and the more recent GCF. The architecture of the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latter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is, indeed, based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on the experience of the former. However, the GCF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is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expected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to go beyond the GEF in terms of resource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mobilisation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, interaction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with the private sector and the nature of covered costs. </w:t>
      </w:r>
      <w:proofErr w:type="gramStart"/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Conversely, the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12"/>
          <w:sz w:val="20"/>
          <w:szCs w:val="20"/>
          <w:lang w:val="en-US"/>
        </w:rPr>
        <w:t>GCF</w:t>
      </w:r>
      <w:r w:rsidRPr="00B56D34">
        <w:rPr>
          <w:rFonts w:ascii="Arial" w:hAnsi="Arial" w:cs="Arial"/>
          <w:color w:val="000000"/>
          <w:w w:val="11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12"/>
          <w:sz w:val="20"/>
          <w:szCs w:val="20"/>
          <w:lang w:val="en-US"/>
        </w:rPr>
        <w:t xml:space="preserve">s mandate is limited to climate  change,  even though the GCF </w:t>
      </w:r>
      <w:r w:rsidRPr="00B56D34">
        <w:rPr>
          <w:rFonts w:ascii="Times New Roman" w:hAnsi="Times New Roman"/>
          <w:color w:val="000000"/>
          <w:w w:val="11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Instrument de</w:t>
      </w:r>
      <w:r w:rsidRPr="00B56D34">
        <w:rPr>
          <w:rFonts w:ascii="Arial" w:hAnsi="Arial" w:cs="Arial"/>
          <w:color w:val="000000"/>
          <w:w w:val="108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nes this area broadly encompassing its interactions with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other areas, such as the protection of biodiversity, particularly in respect of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projects to reduce deforestation (known as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REDD-</w:t>
      </w:r>
      <w:proofErr w:type="spell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plus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’</w:t>
      </w:r>
      <w:proofErr w:type="spell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).</w:t>
      </w:r>
      <w:r w:rsidRPr="00B56D34">
        <w:rPr>
          <w:rFonts w:ascii="Times New Roman" w:hAnsi="Times New Roman"/>
          <w:color w:val="000000"/>
          <w:w w:val="104"/>
          <w:sz w:val="21"/>
          <w:szCs w:val="21"/>
          <w:vertAlign w:val="superscript"/>
          <w:lang w:val="en-US"/>
        </w:rPr>
        <w:t>49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More </w:t>
      </w:r>
      <w:proofErr w:type="spell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funda</w:t>
      </w:r>
      <w:proofErr w:type="spell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mentally, the GCF is a brand new instrument, and it has everything to prove,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whereas the GEF has already more than twenty years of operation and has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channelled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dozens of billions of dollars towards environmental protection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projects.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997"/>
          <w:tab w:val="left" w:pos="5155"/>
        </w:tabs>
        <w:autoSpaceDE w:val="0"/>
        <w:autoSpaceDN w:val="0"/>
        <w:adjustRightInd w:val="0"/>
        <w:spacing w:before="92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46</w:t>
      </w:r>
      <w:r>
        <w:rPr>
          <w:rFonts w:ascii="Times New Roman" w:hAnsi="Times New Roman"/>
          <w:color w:val="000000"/>
          <w:sz w:val="16"/>
          <w:szCs w:val="16"/>
        </w:rPr>
        <w:t xml:space="preserve">  Ibid.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para. 22. 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47</w:t>
      </w:r>
      <w:r>
        <w:rPr>
          <w:rFonts w:ascii="Times New Roman" w:hAnsi="Times New Roman"/>
          <w:color w:val="000000"/>
          <w:sz w:val="16"/>
          <w:szCs w:val="16"/>
        </w:rPr>
        <w:t xml:space="preserve">  Ibid.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para. 2. 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48</w:t>
      </w:r>
      <w:r>
        <w:rPr>
          <w:rFonts w:ascii="Times New Roman" w:hAnsi="Times New Roman"/>
          <w:color w:val="000000"/>
          <w:sz w:val="16"/>
          <w:szCs w:val="16"/>
        </w:rPr>
        <w:t xml:space="preserve">  Ibid.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para.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6(a) in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ne.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49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GCF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Instrument, supra n. 28, para. 35.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24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05" type="#_x0000_t75" style="position:absolute;left:0;text-align:left;margin-left:152pt;margin-top:1in;width:319pt;height:8pt;z-index:-87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206" type="#_x0000_t75" style="position:absolute;left:0;text-align:left;margin-left:0;margin-top:723pt;width:32pt;height:32pt;z-index:-8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07" type="#_x0000_t75" style="position:absolute;left:0;text-align:left;margin-left:517pt;margin-top:723pt;width:32pt;height:32pt;z-index:-85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08" type="#_x0000_t75" style="position:absolute;left:0;text-align:left;margin-left:517pt;margin-top:0;width:32pt;height:31pt;z-index:-8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09" type="#_x0000_t75" style="position:absolute;left:0;text-align:left;margin-left:0;margin-top:0;width:32pt;height:31pt;z-index:-83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10" type="#_x0000_t75" style="position:absolute;left:0;text-align:left;margin-left:123pt;margin-top:123pt;width:303pt;height:508pt;z-index:-82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1" w:name="Pg358"/>
      <w:bookmarkEnd w:id="11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280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280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585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3350"/>
        </w:tabs>
        <w:autoSpaceDE w:val="0"/>
        <w:autoSpaceDN w:val="0"/>
        <w:adjustRightInd w:val="0"/>
        <w:spacing w:before="136" w:after="0" w:line="241" w:lineRule="exact"/>
        <w:ind w:left="2585"/>
        <w:rPr>
          <w:rFonts w:ascii="Arial" w:hAnsi="Arial" w:cs="Arial"/>
          <w:color w:val="000000"/>
          <w:spacing w:val="-7"/>
          <w:w w:val="83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 xml:space="preserve">9.2.2.1.4 </w:t>
      </w:r>
      <w:r w:rsidRPr="00B56D34">
        <w:rPr>
          <w:rFonts w:ascii="Arial" w:hAnsi="Arial" w:cs="Arial"/>
          <w:color w:val="000000"/>
          <w:spacing w:val="-8"/>
          <w:w w:val="86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3"/>
          <w:sz w:val="21"/>
          <w:szCs w:val="21"/>
          <w:lang w:val="en-US"/>
        </w:rPr>
        <w:t xml:space="preserve">Hybrid mechanisms: the PCF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6" w:after="0" w:line="257" w:lineRule="exact"/>
        <w:ind w:left="2585" w:right="40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A hybrid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nancial mechanism that merits some attention is the Prototype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Carbon Fund (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PCF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) established in 1999 under the aegis of the World Bank.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 xml:space="preserve">50 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Despite the relatively modest amounts </w:t>
      </w:r>
      <w:proofErr w:type="spellStart"/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mobilised</w:t>
      </w:r>
      <w:proofErr w:type="spellEnd"/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 by the PCF (less than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US$ 200 million), this mechanism is interesting as an institutional experiment.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Its purpose is to facilitate the </w:t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channelling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of both public and private funds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(offered by companies such as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Electrabel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or Mitsubishi Corporation) towards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emissions reduction projects structured according to the rules of the Clean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Development (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CDM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) and Joint Implementation (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JI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) mechanisms set up by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 Kyoto Protocol.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51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585" w:right="40" w:firstLine="199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This is useful not only as a source of environmental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nance but also as a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testing ground to further develop this type of mechanism. In addition to the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project management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expertise accumulated by the PCF, the investor, whether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public or private, obtains emission reduction units, which it can use later to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ful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l its obligations in this area or to sell in the market for emission rights.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585" w:right="40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Despite the serious dif</w:t>
      </w:r>
      <w:r w:rsidRPr="00B56D34">
        <w:rPr>
          <w:rFonts w:ascii="Arial" w:hAnsi="Arial" w:cs="Arial"/>
          <w:color w:val="000000"/>
          <w:w w:val="106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culties encountered in recent years by carbon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trading, especially due to the global economic crisis (with the ensuing excess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in the supply of emission rights) and the uncertain future of the Kyoto Protocol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(which, despite the adoption of a second commitment period, will probably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cease to impose quanti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able emissions targets in 2020), the contribution of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PCF must not be underestimated.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It has, among others, prompted the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devel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opment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of similar mechanisms at the domestic level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52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and it could serve as a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model for other international initiatives of mixed funding.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224"/>
        </w:tabs>
        <w:autoSpaceDE w:val="0"/>
        <w:autoSpaceDN w:val="0"/>
        <w:adjustRightInd w:val="0"/>
        <w:spacing w:before="35" w:after="0" w:line="241" w:lineRule="exact"/>
        <w:ind w:left="2585"/>
        <w:rPr>
          <w:rFonts w:ascii="Arial" w:hAnsi="Arial" w:cs="Arial"/>
          <w:color w:val="000000"/>
          <w:spacing w:val="-7"/>
          <w:w w:val="85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9"/>
          <w:sz w:val="21"/>
          <w:szCs w:val="21"/>
          <w:lang w:val="en-US"/>
        </w:rPr>
        <w:t xml:space="preserve">9.2.2.2 </w:t>
      </w:r>
      <w:r w:rsidRPr="00B56D34">
        <w:rPr>
          <w:rFonts w:ascii="Arial" w:hAnsi="Arial" w:cs="Arial"/>
          <w:color w:val="000000"/>
          <w:spacing w:val="-8"/>
          <w:w w:val="89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5"/>
          <w:sz w:val="21"/>
          <w:szCs w:val="21"/>
          <w:lang w:val="en-US"/>
        </w:rPr>
        <w:t xml:space="preserve">Technical assistance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585" w:right="40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Technical assistance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is closely related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to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nancial assistance.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Often, the latter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aims to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nance former, whether in the form of capacity building (personnel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training, provision of experts or equipment, development of infrastructure and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administrative capacities)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53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or the transfer of technology to developing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coun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tries (transfer of intellectual property rights or technical know-how to the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public or private sectors of the recipient country).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54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There is some overlap in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the de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nition of these two types of technical assistance.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By way of illustration,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284"/>
        </w:tabs>
        <w:autoSpaceDE w:val="0"/>
        <w:autoSpaceDN w:val="0"/>
        <w:adjustRightInd w:val="0"/>
        <w:spacing w:before="123" w:after="0" w:line="184" w:lineRule="exact"/>
        <w:ind w:left="2585"/>
        <w:rPr>
          <w:rFonts w:ascii="Times New Roman" w:hAnsi="Times New Roman"/>
          <w:color w:val="000000"/>
          <w:w w:val="103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2"/>
          <w:sz w:val="17"/>
          <w:szCs w:val="17"/>
          <w:vertAlign w:val="superscript"/>
          <w:lang w:val="en-US"/>
        </w:rPr>
        <w:t>50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 IBRD</w:t>
      </w:r>
      <w:proofErr w:type="gram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, 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ab/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Amended  and  Restated  Instrument  Establishing  the  Prototype  Carbon  Fund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,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3" w:after="0" w:line="200" w:lineRule="exact"/>
        <w:ind w:left="2780" w:right="72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Resolution No. 99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1 (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PCF Instrument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). See D. Freestone,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>The World Bank</w:t>
      </w:r>
      <w:r w:rsidRPr="00B56D34">
        <w:rPr>
          <w:rFonts w:ascii="Arial" w:hAnsi="Arial" w:cs="Arial"/>
          <w:color w:val="000000"/>
          <w:w w:val="104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t xml:space="preserve">s Prototype </w:t>
      </w:r>
      <w:r w:rsidRPr="00B56D34">
        <w:rPr>
          <w:rFonts w:ascii="Times New Roman" w:hAnsi="Times New Roman"/>
          <w:color w:val="000000"/>
          <w:w w:val="104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Carbon Fund: </w:t>
      </w:r>
      <w:proofErr w:type="spellStart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Mobilising</w:t>
      </w:r>
      <w:proofErr w:type="spell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new Resources for Sustainable Development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, in S. </w:t>
      </w:r>
      <w:proofErr w:type="spellStart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Schemmer</w:t>
      </w:r>
      <w:proofErr w:type="spell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Schulte and K. Y. Tung (eds.) Liber </w:t>
      </w:r>
      <w:proofErr w:type="spellStart"/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>Amicorum</w:t>
      </w:r>
      <w:proofErr w:type="spellEnd"/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Ibrahim S. I. </w:t>
      </w:r>
      <w:proofErr w:type="spellStart"/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>Shihata</w:t>
      </w:r>
      <w:proofErr w:type="spellEnd"/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(The Hague: Kluwer, 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2001), pp. 265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341.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2"/>
          <w:sz w:val="17"/>
          <w:szCs w:val="17"/>
          <w:vertAlign w:val="superscript"/>
          <w:lang w:val="en-US"/>
        </w:rPr>
        <w:t>51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 xml:space="preserve">  Kyoto</w:t>
      </w:r>
      <w:proofErr w:type="gramEnd"/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 xml:space="preserve"> Protocol to the UN Framework Convention on Climate Change, 11 December 1997, 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2302 UNTS 148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Kyoto Protocol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See Chapter 5.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52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World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Bank, Annual Report. Carbon Finance for Sustainable Development (2010), pp. 23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77.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200" w:lineRule="exact"/>
        <w:ind w:left="2585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2"/>
          <w:sz w:val="17"/>
          <w:szCs w:val="17"/>
          <w:vertAlign w:val="superscript"/>
          <w:lang w:val="en-US"/>
        </w:rPr>
        <w:t>53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Action 21, supra n. 5, Chapter 37. More generally, see D. Ponce-Nava,</w:t>
      </w:r>
      <w:r w:rsidRPr="00B56D34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Capacity-Building in 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Environmental Law and Sustainable Development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, in W. Lang (ed.), Sustainable Development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>and International Law (London: Springer, 1995), pp. 131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6.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5"/>
          <w:sz w:val="17"/>
          <w:szCs w:val="17"/>
          <w:vertAlign w:val="superscript"/>
          <w:lang w:val="en-US"/>
        </w:rPr>
        <w:t>54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Action 21, supra n. 5, Chapter 34. See also L. </w:t>
      </w:r>
      <w:proofErr w:type="spellStart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>Gündling</w:t>
      </w:r>
      <w:proofErr w:type="spellEnd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w w:val="105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Compliance Assistance in 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>International Environmental Law: Capacity-Building, Transfer of Finance and Technology</w:t>
      </w:r>
      <w:r w:rsidRPr="00B56D34">
        <w:rPr>
          <w:rFonts w:ascii="Arial" w:hAnsi="Arial" w:cs="Arial"/>
          <w:color w:val="000000"/>
          <w:spacing w:val="2"/>
          <w:sz w:val="16"/>
          <w:szCs w:val="16"/>
          <w:lang w:val="en-US"/>
        </w:rPr>
        <w:t xml:space="preserve">’ </w:t>
      </w:r>
      <w:r w:rsidRPr="00B56D34">
        <w:rPr>
          <w:rFonts w:ascii="Arial" w:hAnsi="Arial" w:cs="Arial"/>
          <w:color w:val="000000"/>
          <w:spacing w:val="2"/>
          <w:sz w:val="16"/>
          <w:szCs w:val="16"/>
          <w:lang w:val="en-US"/>
        </w:rPr>
        <w:br/>
      </w:r>
      <w:r w:rsidRPr="00B56D34">
        <w:rPr>
          <w:rFonts w:ascii="Arial" w:hAnsi="Arial" w:cs="Arial"/>
          <w:color w:val="000000"/>
          <w:spacing w:val="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(1996)56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Zeitschrift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für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ausländisches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öffentliches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Recht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und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Völkerrecht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796.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sectPr w:rsidR="00A368D8" w:rsidRPr="00B56D34">
          <w:pgSz w:w="10980" w:h="15120"/>
          <w:pgMar w:top="-20" w:right="1423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11" type="#_x0000_t75" style="position:absolute;left:0;text-align:left;margin-left:161pt;margin-top:1in;width:319pt;height:8pt;z-index:-81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12" type="#_x0000_t75" style="position:absolute;left:0;text-align:left;margin-left:0;margin-top:723pt;width:32pt;height:32pt;z-index:-8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13" type="#_x0000_t75" style="position:absolute;left:0;text-align:left;margin-left:517pt;margin-top:723pt;width:32pt;height:32pt;z-index:-79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14" type="#_x0000_t75" style="position:absolute;left:0;text-align:left;margin-left:517pt;margin-top:0;width:32pt;height:31pt;z-index:-78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15" type="#_x0000_t75" style="position:absolute;left:0;text-align:left;margin-left:0;margin-top:0;width:32pt;height:31pt;z-index:-77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16" type="#_x0000_t75" style="position:absolute;left:0;text-align:left;margin-left:123pt;margin-top:123pt;width:303pt;height:508pt;z-index:-76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2" w:name="Pg359"/>
      <w:bookmarkEnd w:id="12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281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281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Facilitating 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763" w:right="40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chapter 37 of Agenda 21 states that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(t)</w:t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echnical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cooperation, including that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related to technology transfer and know-how, encompasses the whole range of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activities  to  develop  or  strengthen  individual  and  group  capacities  and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>capabilities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.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>55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Similarly, chapter 34 of Agenda 21, on the transfer of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envir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onmentally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sound technologies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refers repeatedly to the need to strengthen the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technical and institutional capacity in developing countries.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56</w:t>
      </w:r>
      <w:proofErr w:type="gramEnd"/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763" w:right="40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However, in practice, the two forms of technical assistance have their own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distinctive features, and these speci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cities are important to understand the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place of technical assistance in the architecture of environmental treaties.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Capacity building is the type of technical assistance initially envisaged by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environmental treaties.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World Heritage Fund provides a good illustration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of this point.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>57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We saw that this Fund was established to assist States parties in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identifying sites of outstanding value, preparing the application to include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them in the World Heritage List as well as taking measures for their protection,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especially when they are threatened by circumstances such as natural disasters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or armed con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icts.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This type of technical assistance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can be distinguished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from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certain forms of assistance envisaged by the Montreal Protocol and funded by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its Multilateral Fund. As noted earlier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58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the Montreal Protocol was amended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>in 1990 to attract some developing States. The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London Amendment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created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the Multilateral Fund, but it also introduced a provision (Article 10A) on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transfer of technology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. To understand the scope of the Amendment, not only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as regards the ozone regime </w:t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but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, more generally, in relation to the issue of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technology transfer in international environmental law, it is useful to recall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some aspects of the negotiations of the Montreal Protocol.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763" w:right="40" w:firstLine="199"/>
        <w:jc w:val="both"/>
        <w:rPr>
          <w:rFonts w:ascii="Times New Roman" w:hAnsi="Times New Roman"/>
          <w:color w:val="000000"/>
          <w:w w:val="106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The London Amendment helped to bring certain countries, such as China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or India, into the system of the Montreal Protocol. These countries (operating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under Article 5(1)) have undertaken obligations to eliminate the production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and consumption of controlled substances, which are broadly similar to the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obligations of developed countries (the main difference is the time-scale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  <w:t xml:space="preserve">applicable to each group). In exchange for this commitment, developed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countries  agreed  to  cover  the 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agreed  incremental  costs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incurred  by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developing countries in complying with their obligations.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59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But the deal was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not a mere question of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nance. We have studied in Chapter 5 the context in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which the Montreal Protocol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was negotiated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and, in particular, the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considera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tions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of international competitiveness raised by the search for substitutes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  <w:t xml:space="preserve">to controlled substances. In such a context, the commitment </w:t>
      </w:r>
      <w:proofErr w:type="gram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to no longer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produce/use</w:t>
      </w:r>
      <w:proofErr w:type="gram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certain substances, important from an industrial standpoint,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  <w:t xml:space="preserve">was not a realistic option for States that did not have substitutes, unless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763" w:right="40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(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)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suf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cient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time was granted to gradually convert their industrial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infrastruc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ture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, (ii)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nancial assistance was given to them, and (iii) intellectual property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5164"/>
        </w:tabs>
        <w:autoSpaceDE w:val="0"/>
        <w:autoSpaceDN w:val="0"/>
        <w:adjustRightInd w:val="0"/>
        <w:spacing w:before="55" w:after="0" w:line="184" w:lineRule="exact"/>
        <w:ind w:left="276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55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Action</w:t>
      </w:r>
      <w:proofErr w:type="spellEnd"/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21, supra n. 5, para. 37.2. 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17"/>
          <w:szCs w:val="17"/>
          <w:vertAlign w:val="superscript"/>
        </w:rPr>
        <w:t>56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 Ibid.</w:t>
      </w:r>
      <w:proofErr w:type="gram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, paras. </w:t>
      </w:r>
      <w:proofErr w:type="gram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34.8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, 34.14(d), 34.20, 34.22 and 34.26(b). </w:t>
      </w:r>
    </w:p>
    <w:p w:rsidR="00A368D8" w:rsidRPr="00B56D34" w:rsidRDefault="00BB3753">
      <w:pPr>
        <w:widowControl w:val="0"/>
        <w:tabs>
          <w:tab w:val="left" w:pos="4688"/>
        </w:tabs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57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supra Section 9.1.2.2.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</w: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58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supra Section 9.1.2.2.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59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Indicative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list of agreed incremental costs, supra n. 23.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246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17" type="#_x0000_t75" style="position:absolute;left:0;text-align:left;margin-left:152pt;margin-top:1in;width:319pt;height:8pt;z-index:-75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218" type="#_x0000_t75" style="position:absolute;left:0;text-align:left;margin-left:0;margin-top:723pt;width:32pt;height:32pt;z-index:-7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19" type="#_x0000_t75" style="position:absolute;left:0;text-align:left;margin-left:517pt;margin-top:723pt;width:32pt;height:32pt;z-index:-73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20" type="#_x0000_t75" style="position:absolute;left:0;text-align:left;margin-left:517pt;margin-top:0;width:32pt;height:31pt;z-index:-7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21" type="#_x0000_t75" style="position:absolute;left:0;text-align:left;margin-left:0;margin-top:0;width:32pt;height:31pt;z-index:-71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22" type="#_x0000_t75" style="position:absolute;left:0;text-align:left;margin-left:123pt;margin-top:123pt;width:303pt;height:508pt;z-index:-7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3" w:name="Pg360"/>
      <w:bookmarkEnd w:id="13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282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282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3194"/>
        </w:tabs>
        <w:autoSpaceDE w:val="0"/>
        <w:autoSpaceDN w:val="0"/>
        <w:adjustRightInd w:val="0"/>
        <w:spacing w:before="82" w:after="0" w:line="260" w:lineRule="exact"/>
        <w:ind w:left="2585" w:right="40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rights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ab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(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IPRs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)  and  know-how  relating  to  substitutes  was  transferred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under reasonable conditions. These three considerations are important to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understand the contents of the technology transfer provision (Article 10A)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introduced by the London Amendment: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57" w:after="0" w:line="240" w:lineRule="exact"/>
        <w:ind w:left="2775" w:right="48"/>
        <w:jc w:val="both"/>
        <w:rPr>
          <w:rFonts w:ascii="Times New Roman" w:hAnsi="Times New Roman"/>
          <w:color w:val="000000"/>
          <w:spacing w:val="1"/>
          <w:sz w:val="19"/>
          <w:szCs w:val="19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19"/>
          <w:szCs w:val="19"/>
          <w:lang w:val="en-US"/>
        </w:rPr>
        <w:t xml:space="preserve">Each Party shall take every practicable step, consistent with the </w:t>
      </w:r>
      <w:proofErr w:type="spellStart"/>
      <w:r w:rsidRPr="00B56D34">
        <w:rPr>
          <w:rFonts w:ascii="Times New Roman" w:hAnsi="Times New Roman"/>
          <w:color w:val="000000"/>
          <w:w w:val="102"/>
          <w:sz w:val="19"/>
          <w:szCs w:val="19"/>
          <w:lang w:val="en-US"/>
        </w:rPr>
        <w:t>programmes</w:t>
      </w:r>
      <w:proofErr w:type="spellEnd"/>
      <w:r w:rsidRPr="00B56D34">
        <w:rPr>
          <w:rFonts w:ascii="Times New Roman" w:hAnsi="Times New Roman"/>
          <w:color w:val="000000"/>
          <w:w w:val="102"/>
          <w:sz w:val="19"/>
          <w:szCs w:val="19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pacing w:val="1"/>
          <w:sz w:val="19"/>
          <w:szCs w:val="19"/>
          <w:lang w:val="en-US"/>
        </w:rPr>
        <w:t>supported by the</w:t>
      </w:r>
      <w:r w:rsidRPr="00B56D34">
        <w:rPr>
          <w:rFonts w:ascii="Arial" w:hAnsi="Arial" w:cs="Arial"/>
          <w:color w:val="000000"/>
          <w:spacing w:val="1"/>
          <w:sz w:val="19"/>
          <w:szCs w:val="19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1"/>
          <w:sz w:val="19"/>
          <w:szCs w:val="19"/>
          <w:lang w:val="en-US"/>
        </w:rPr>
        <w:t xml:space="preserve">nancial mechanism to ensure: </w:t>
      </w:r>
    </w:p>
    <w:p w:rsidR="00A368D8" w:rsidRPr="00B56D34" w:rsidRDefault="00BB3753">
      <w:pPr>
        <w:widowControl w:val="0"/>
        <w:tabs>
          <w:tab w:val="left" w:pos="3101"/>
        </w:tabs>
        <w:autoSpaceDE w:val="0"/>
        <w:autoSpaceDN w:val="0"/>
        <w:adjustRightInd w:val="0"/>
        <w:spacing w:before="120" w:after="0" w:line="240" w:lineRule="exact"/>
        <w:ind w:left="2788" w:right="49"/>
        <w:rPr>
          <w:rFonts w:ascii="Times New Roman" w:hAnsi="Times New Roman"/>
          <w:color w:val="000000"/>
          <w:sz w:val="19"/>
          <w:szCs w:val="19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19"/>
          <w:szCs w:val="19"/>
          <w:lang w:val="en-US"/>
        </w:rPr>
        <w:t xml:space="preserve">(a) That  the  best  available,  environmentally  safe  substitutes  and  related </w:t>
      </w:r>
      <w:r w:rsidRPr="00B56D34">
        <w:rPr>
          <w:rFonts w:ascii="Times New Roman" w:hAnsi="Times New Roman"/>
          <w:color w:val="000000"/>
          <w:w w:val="102"/>
          <w:sz w:val="19"/>
          <w:szCs w:val="19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9"/>
          <w:szCs w:val="19"/>
          <w:lang w:val="en-US"/>
        </w:rPr>
        <w:tab/>
      </w:r>
      <w:r w:rsidRPr="00B56D34">
        <w:rPr>
          <w:rFonts w:ascii="Times New Roman" w:hAnsi="Times New Roman"/>
          <w:color w:val="000000"/>
          <w:spacing w:val="2"/>
          <w:sz w:val="19"/>
          <w:szCs w:val="19"/>
          <w:lang w:val="en-US"/>
        </w:rPr>
        <w:t xml:space="preserve">technologies  are  expeditiously  transferred  to  Parties  operating  under </w:t>
      </w:r>
      <w:r w:rsidRPr="00B56D34">
        <w:rPr>
          <w:rFonts w:ascii="Times New Roman" w:hAnsi="Times New Roman"/>
          <w:color w:val="000000"/>
          <w:spacing w:val="2"/>
          <w:sz w:val="19"/>
          <w:szCs w:val="19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9"/>
          <w:szCs w:val="19"/>
          <w:lang w:val="en-US"/>
        </w:rPr>
        <w:tab/>
      </w:r>
      <w:r w:rsidRPr="00B56D34">
        <w:rPr>
          <w:rFonts w:ascii="Times New Roman" w:hAnsi="Times New Roman"/>
          <w:color w:val="000000"/>
          <w:sz w:val="19"/>
          <w:szCs w:val="19"/>
          <w:lang w:val="en-US"/>
        </w:rPr>
        <w:t xml:space="preserve">paragraph 1 of Article 5; and </w:t>
      </w:r>
    </w:p>
    <w:p w:rsidR="00A368D8" w:rsidRPr="00B56D34" w:rsidRDefault="00BB3753">
      <w:pPr>
        <w:widowControl w:val="0"/>
        <w:tabs>
          <w:tab w:val="left" w:pos="3101"/>
        </w:tabs>
        <w:autoSpaceDE w:val="0"/>
        <w:autoSpaceDN w:val="0"/>
        <w:adjustRightInd w:val="0"/>
        <w:spacing w:after="0" w:line="240" w:lineRule="exact"/>
        <w:ind w:left="2775" w:right="49"/>
        <w:rPr>
          <w:rFonts w:ascii="Times New Roman" w:hAnsi="Times New Roman"/>
          <w:color w:val="000000"/>
          <w:spacing w:val="1"/>
          <w:sz w:val="19"/>
          <w:szCs w:val="19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19"/>
          <w:szCs w:val="19"/>
          <w:lang w:val="en-US"/>
        </w:rPr>
        <w:t xml:space="preserve">(b) That the transfers referred to in subparagraph (a) occur under fair and most </w:t>
      </w:r>
      <w:r w:rsidRPr="00B56D34">
        <w:rPr>
          <w:rFonts w:ascii="Times New Roman" w:hAnsi="Times New Roman"/>
          <w:color w:val="000000"/>
          <w:spacing w:val="1"/>
          <w:sz w:val="19"/>
          <w:szCs w:val="19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9"/>
          <w:szCs w:val="19"/>
          <w:lang w:val="en-US"/>
        </w:rPr>
        <w:tab/>
      </w:r>
      <w:proofErr w:type="spellStart"/>
      <w:r w:rsidRPr="00B56D34">
        <w:rPr>
          <w:rFonts w:ascii="Times New Roman" w:hAnsi="Times New Roman"/>
          <w:color w:val="000000"/>
          <w:spacing w:val="1"/>
          <w:sz w:val="19"/>
          <w:szCs w:val="19"/>
          <w:lang w:val="en-US"/>
        </w:rPr>
        <w:t>favourable</w:t>
      </w:r>
      <w:proofErr w:type="spellEnd"/>
      <w:r w:rsidRPr="00B56D34">
        <w:rPr>
          <w:rFonts w:ascii="Times New Roman" w:hAnsi="Times New Roman"/>
          <w:color w:val="000000"/>
          <w:spacing w:val="1"/>
          <w:sz w:val="19"/>
          <w:szCs w:val="19"/>
          <w:lang w:val="en-US"/>
        </w:rPr>
        <w:t xml:space="preserve"> conditions.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24" w:after="0" w:line="260" w:lineRule="exact"/>
        <w:ind w:left="2585" w:right="4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In other words, unlike capacity building, the transfer of technology poses, in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practice, important issues of IPRs and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know-how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protection and, thereby,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international competitiveness. These questions concern not only the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nancing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of transfers </w:t>
      </w:r>
      <w:proofErr w:type="gram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but</w:t>
      </w:r>
      <w:proofErr w:type="gram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, more fundamentally, the provision of technologies. The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holders of IPRs may restrict access to certain technologies (refusing to grant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a </w:t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licence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) to prevent other companies (actual or potential) from developing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competing products. This question effectively arose in connection with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indus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tries in India and Korea, which were denied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licences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(even against payment) to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produce substitutes for substances regulated by the Montreal Protocol.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60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Such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refusal meant that substitute products had to be purchased from the holder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patent. The Multilateral Fund can cover the costs of importing substitutes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but this is not a satisfactory solution to the problem because such assistance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depends on the availability of suf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cient funds. Moreover, there is a question of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circularity to the extent that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nancial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assistance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is being used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to pay for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products of companies based in donor countries. This case illustrates some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of the 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 problems raised by technology transfer.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585" w:right="40" w:firstLine="199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interactions between IPRs and international environmental law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will be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discussed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in more detail in Chapter 12. For present purposes, suf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ce to draw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some general conclusions regarding technical assistance. A distinction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can be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made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between capacity building and technology transfer (as </w:t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characterised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in this section). The second type of assistance raises speci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c problems of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competitiveness and IPRs protection. We illustrated this difference in the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context  of  the  Montreal  Protocol,  but  similar  problems  arise  in  other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contexts, such as the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ght against climate change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61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and the control of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persis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tent organic pollutants.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>62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 reference to India and China also highlighted the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585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585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190" w:after="0" w:line="200" w:lineRule="exact"/>
        <w:ind w:left="2585" w:right="73"/>
        <w:rPr>
          <w:rFonts w:ascii="Times New Roman" w:hAnsi="Times New Roman"/>
          <w:color w:val="000000"/>
          <w:spacing w:val="-3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2"/>
          <w:sz w:val="17"/>
          <w:szCs w:val="17"/>
          <w:vertAlign w:val="superscript"/>
          <w:lang w:val="en-US"/>
        </w:rPr>
        <w:t>60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UNDP, Rapport sur le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développement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humain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2001 (Brussels: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DeBoeck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Université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, 2001), p. 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3"/>
          <w:sz w:val="16"/>
          <w:szCs w:val="16"/>
          <w:lang w:val="en-US"/>
        </w:rPr>
        <w:t xml:space="preserve">109.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17" w:after="0" w:line="180" w:lineRule="exact"/>
        <w:ind w:left="2585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61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K. E.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Maskus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Differentiated Intellectual Property Regimes for Environmental and Climate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>Technologies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, (2010) No. 17 OECD Environment Working Papers.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4" w:after="0" w:line="200" w:lineRule="exact"/>
        <w:ind w:left="2585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62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‘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Endosulfan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ban call inspired by European interests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, 29 April 2011, available at </w:t>
      </w:r>
      <w:hyperlink r:id="rId17" w:history="1">
        <w:r w:rsidRPr="00B56D34">
          <w:rPr>
            <w:rFonts w:ascii="Times New Roman" w:hAnsi="Times New Roman"/>
            <w:color w:val="000000"/>
            <w:spacing w:val="-1"/>
            <w:sz w:val="16"/>
            <w:szCs w:val="16"/>
            <w:lang w:val="en-US"/>
          </w:rPr>
          <w:t>www.news.</w:t>
        </w:r>
      </w:hyperlink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 xml:space="preserve">agropages.com (last visited on 10 April 2013).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sectPr w:rsidR="00A368D8" w:rsidRPr="00B56D34">
          <w:pgSz w:w="10980" w:h="15120"/>
          <w:pgMar w:top="-20" w:right="1423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23" type="#_x0000_t75" style="position:absolute;left:0;text-align:left;margin-left:161pt;margin-top:1in;width:319pt;height:8pt;z-index:-69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24" type="#_x0000_t75" style="position:absolute;left:0;text-align:left;margin-left:0;margin-top:723pt;width:32pt;height:32pt;z-index:-6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25" type="#_x0000_t75" style="position:absolute;left:0;text-align:left;margin-left:517pt;margin-top:723pt;width:32pt;height:32pt;z-index:-67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26" type="#_x0000_t75" style="position:absolute;left:0;text-align:left;margin-left:517pt;margin-top:0;width:32pt;height:31pt;z-index:-6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27" type="#_x0000_t75" style="position:absolute;left:0;text-align:left;margin-left:0;margin-top:0;width:32pt;height:31pt;z-index:-65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28" type="#_x0000_t75" style="position:absolute;left:0;text-align:left;margin-left:123pt;margin-top:123pt;width:303pt;height:508pt;z-index:-64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4" w:name="Pg361"/>
      <w:bookmarkEnd w:id="14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283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283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Facilitating 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763" w:right="40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tension</w:t>
      </w:r>
      <w:proofErr w:type="gram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between developed countries (which, as a rule, support the IPRs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holders)  and  developing  countries (technology  recipients).  This  tension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9"/>
          <w:sz w:val="20"/>
          <w:szCs w:val="20"/>
          <w:lang w:val="en-US"/>
        </w:rPr>
        <w:t>is re</w:t>
      </w:r>
      <w:r w:rsidRPr="00B56D34">
        <w:rPr>
          <w:rFonts w:ascii="Arial" w:hAnsi="Arial" w:cs="Arial"/>
          <w:color w:val="000000"/>
          <w:w w:val="109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w w:val="109"/>
          <w:sz w:val="20"/>
          <w:szCs w:val="20"/>
          <w:lang w:val="en-US"/>
        </w:rPr>
        <w:t xml:space="preserve">ected in legal terms by the </w:t>
      </w:r>
      <w:r w:rsidRPr="00B56D34">
        <w:rPr>
          <w:rFonts w:ascii="Arial" w:hAnsi="Arial" w:cs="Arial"/>
          <w:color w:val="000000"/>
          <w:w w:val="106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form</w:t>
      </w:r>
      <w:r w:rsidRPr="00B56D34">
        <w:rPr>
          <w:rFonts w:ascii="Arial" w:hAnsi="Arial" w:cs="Arial"/>
          <w:color w:val="000000"/>
          <w:w w:val="106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in which technology transfer is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envisaged.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63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While developed countries tend to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favour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lower tariffs applicable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to such environmental products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64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(i.e. the export of substitution products),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  <w:t xml:space="preserve">developing countries </w:t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emphasise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the need for genuine technology transfer,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including the associated know-how, in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favourable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terms. Between these two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extremes, the lawyer must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nd intermediate solutions to preserve the essential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requirements of both sides. This research, which is strictly legal, is of consider-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able importance for the effectiveness of international environmental law.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763" w:right="40" w:firstLine="199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One might ask, in this context, what are the instruments that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can be used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to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address this trade-off? There are several possibilities, ranging from the issuing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of compulsory </w:t>
      </w:r>
      <w:proofErr w:type="spell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licences</w:t>
      </w:r>
      <w:proofErr w:type="spell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to use IPRs</w:t>
      </w:r>
      <w:r w:rsidRPr="00B56D34">
        <w:rPr>
          <w:rFonts w:ascii="Times New Roman" w:hAnsi="Times New Roman"/>
          <w:color w:val="000000"/>
          <w:w w:val="106"/>
          <w:sz w:val="21"/>
          <w:szCs w:val="21"/>
          <w:vertAlign w:val="superscript"/>
          <w:lang w:val="en-US"/>
        </w:rPr>
        <w:t xml:space="preserve">65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to the implementation of speci</w:t>
      </w:r>
      <w:r w:rsidRPr="00B56D34">
        <w:rPr>
          <w:rFonts w:ascii="Arial" w:hAnsi="Arial" w:cs="Arial"/>
          <w:color w:val="000000"/>
          <w:w w:val="107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c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mechanisms for the development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66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or sharing of technologies,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67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in particular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through the creation of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markets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of IPRs.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>68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A recent attempt to establish an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innovative instrument was made at the 2010 COP of the UNFCCC held in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Cancun. On this occasion, a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Technology Mechanism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was created based on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>two institutional pillars, namely a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Technology Executive Committee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and a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Climate Technology Centre and Network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.</w:t>
      </w:r>
      <w:r w:rsidRPr="00B56D34">
        <w:rPr>
          <w:rFonts w:ascii="Times New Roman" w:hAnsi="Times New Roman"/>
          <w:color w:val="000000"/>
          <w:w w:val="102"/>
          <w:sz w:val="21"/>
          <w:szCs w:val="21"/>
          <w:vertAlign w:val="superscript"/>
          <w:lang w:val="en-US"/>
        </w:rPr>
        <w:t>69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The Committee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s function is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essentially to provide guidance for technology transfer policies, while the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Centre focuses on implementation. The Centre is currently managed by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a </w:t>
      </w:r>
      <w:proofErr w:type="gramStart"/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consortium  of</w:t>
      </w:r>
      <w:proofErr w:type="gramEnd"/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  intergovernmental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(including  UNEP  and  UNIDO),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non-governmental  and  private  </w:t>
      </w:r>
      <w:proofErr w:type="spell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organisations</w:t>
      </w:r>
      <w:proofErr w:type="spell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.  </w:t>
      </w:r>
      <w:proofErr w:type="gram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The  Centre</w:t>
      </w:r>
      <w:proofErr w:type="gram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 is  primarily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intended to share information and expertise but, for the time being, speci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c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references to the management of IPRs have been avoided. Of note is the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emphasis on encouraging entrepreneurship, partnerships between </w:t>
      </w:r>
      <w:proofErr w:type="spellStart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organisa</w:t>
      </w:r>
      <w:proofErr w:type="spellEnd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tions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of the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North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and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South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and foreign direct investment. This form of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10" w:after="0" w:line="200" w:lineRule="exact"/>
        <w:ind w:left="2763" w:right="7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2"/>
          <w:sz w:val="17"/>
          <w:szCs w:val="17"/>
          <w:vertAlign w:val="superscript"/>
          <w:lang w:val="en-US"/>
        </w:rPr>
        <w:t>63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 The</w:t>
      </w:r>
      <w:proofErr w:type="gramEnd"/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three</w:t>
      </w:r>
      <w:r w:rsidRPr="00B56D34">
        <w:rPr>
          <w:rFonts w:ascii="Arial" w:hAnsi="Arial" w:cs="Arial"/>
          <w:color w:val="000000"/>
          <w:w w:val="102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>forms</w:t>
      </w:r>
      <w:r w:rsidRPr="00B56D34">
        <w:rPr>
          <w:rFonts w:ascii="Arial" w:hAnsi="Arial" w:cs="Arial"/>
          <w:color w:val="000000"/>
          <w:w w:val="102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traditionally identi</w:t>
      </w:r>
      <w:r w:rsidRPr="00B56D34">
        <w:rPr>
          <w:rFonts w:ascii="Arial" w:hAnsi="Arial" w:cs="Arial"/>
          <w:color w:val="000000"/>
          <w:w w:val="102"/>
          <w:sz w:val="16"/>
          <w:szCs w:val="16"/>
          <w:lang w:val="en-US"/>
        </w:rPr>
        <w:t>fi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ed in economics, namely trade, licensing and foreign 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 xml:space="preserve">direct investment, have very different political and legal implications. On the economic 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approach, see W. Keller,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International Technology Diffusion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(2004) 42 Journal of Economic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 xml:space="preserve">Literature 752.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00" w:lineRule="exact"/>
        <w:ind w:left="2763" w:right="72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17"/>
          <w:szCs w:val="17"/>
          <w:vertAlign w:val="superscript"/>
          <w:lang w:val="en-US"/>
        </w:rPr>
        <w:t>64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 See OECD, Policy Brief: Opening Markets for Environmental Goods and Services (Paris: OECD, 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2005); R.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Steenblink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and J. A. Kim,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Facilitating Trade in Selected Climate Change Mitigation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>Technologies in the Energy Supply, Buildings, and Industry Sectors</w:t>
      </w:r>
      <w:r w:rsidRPr="00B56D34">
        <w:rPr>
          <w:rFonts w:ascii="Arial" w:hAnsi="Arial" w:cs="Arial"/>
          <w:color w:val="000000"/>
          <w:w w:val="106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 xml:space="preserve">, OECD Trade and 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Environment Working Paper, No. 2009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02 (4 May 2009).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00" w:lineRule="exact"/>
        <w:ind w:left="2763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65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C. Correa,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Innovation and Technology Transfer of Environmentally Sound Technologies: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The Need to Engage in a Substantive Debate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(2013) 22 Review of European, Comparative and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 xml:space="preserve">International Environmental Law 54, at 60.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00" w:lineRule="exact"/>
        <w:ind w:left="2763" w:right="73"/>
        <w:rPr>
          <w:rFonts w:ascii="Times New Roman" w:hAnsi="Times New Roman"/>
          <w:color w:val="000000"/>
          <w:spacing w:val="-3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66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L. Diaz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Anadon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Missions-oriented RD&amp;D Institutions in Energy Between 2000 and 2010: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A Comparative Analysis of China, the United Kingdom, and the United States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(2012) 41 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3"/>
          <w:sz w:val="16"/>
          <w:szCs w:val="16"/>
          <w:lang w:val="en-US"/>
        </w:rPr>
        <w:t xml:space="preserve">Research Policy 1742.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67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Correa, supra n. 65.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3" w:after="0" w:line="200" w:lineRule="exact"/>
        <w:ind w:left="2763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3"/>
          <w:sz w:val="17"/>
          <w:szCs w:val="17"/>
          <w:vertAlign w:val="superscript"/>
          <w:lang w:val="en-US"/>
        </w:rPr>
        <w:t>68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A</w:t>
      </w:r>
      <w:proofErr w:type="gram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. H. B. Monk,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The Emerging Market for Intellectual Property: Drivers, Restrainers, and 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Implications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(2009) 9 Journal of Economic Geography 469.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00" w:lineRule="exact"/>
        <w:ind w:left="2763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69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The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Cancun Agreements: Outcome of the work of the Ad Hoc Working Group on Long-term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Cooperative Action under the Convention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, Decision 1/CP.16, 15 March 2011, Doc. FCCC/CP/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>2010/7/Add.1, paras. 117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27.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sectPr w:rsidR="00A368D8" w:rsidRPr="00B56D34">
          <w:pgSz w:w="10980" w:h="15120"/>
          <w:pgMar w:top="-20" w:right="1246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29" type="#_x0000_t75" style="position:absolute;left:0;text-align:left;margin-left:152pt;margin-top:1in;width:319pt;height:8pt;z-index:-63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230" type="#_x0000_t75" style="position:absolute;left:0;text-align:left;margin-left:0;margin-top:723pt;width:32pt;height:32pt;z-index:-6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31" type="#_x0000_t75" style="position:absolute;left:0;text-align:left;margin-left:517pt;margin-top:723pt;width:32pt;height:32pt;z-index:-61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32" type="#_x0000_t75" style="position:absolute;left:0;text-align:left;margin-left:517pt;margin-top:0;width:32pt;height:31pt;z-index:-60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33" type="#_x0000_t75" style="position:absolute;left:0;text-align:left;margin-left:0;margin-top:0;width:32pt;height:31pt;z-index:-59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34" type="#_x0000_t75" style="position:absolute;left:0;text-align:left;margin-left:123pt;margin-top:123pt;width:303pt;height:508pt;z-index:-58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5" w:name="Pg362"/>
      <w:bookmarkEnd w:id="15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284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284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585" w:right="4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investment</w:t>
      </w:r>
      <w:proofErr w:type="gram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could be a good compromise between the protection of IPRs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(which remain in the hands of the investor) and the development of national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infrastructure sought by developing countries, but it does have a number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problems, which are discussed in Chapter 12.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078"/>
        </w:tabs>
        <w:autoSpaceDE w:val="0"/>
        <w:autoSpaceDN w:val="0"/>
        <w:adjustRightInd w:val="0"/>
        <w:spacing w:before="175" w:after="0" w:line="241" w:lineRule="exact"/>
        <w:ind w:left="2585"/>
        <w:rPr>
          <w:rFonts w:ascii="Arial" w:hAnsi="Arial" w:cs="Arial"/>
          <w:color w:val="000000"/>
          <w:spacing w:val="-7"/>
          <w:w w:val="90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 xml:space="preserve">9.2.3 </w:t>
      </w: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90"/>
          <w:sz w:val="21"/>
          <w:szCs w:val="21"/>
          <w:lang w:val="en-US"/>
        </w:rPr>
        <w:t>Techniques oriented towards efficiency (</w:t>
      </w:r>
      <w:proofErr w:type="spellStart"/>
      <w:r w:rsidRPr="00B56D34">
        <w:rPr>
          <w:rFonts w:ascii="Arial" w:hAnsi="Arial" w:cs="Arial"/>
          <w:color w:val="000000"/>
          <w:spacing w:val="-7"/>
          <w:w w:val="90"/>
          <w:sz w:val="21"/>
          <w:szCs w:val="21"/>
          <w:lang w:val="en-US"/>
        </w:rPr>
        <w:t>renvoi</w:t>
      </w:r>
      <w:proofErr w:type="spellEnd"/>
      <w:r w:rsidRPr="00B56D34">
        <w:rPr>
          <w:rFonts w:ascii="Arial" w:hAnsi="Arial" w:cs="Arial"/>
          <w:color w:val="000000"/>
          <w:spacing w:val="-7"/>
          <w:w w:val="90"/>
          <w:sz w:val="21"/>
          <w:szCs w:val="21"/>
          <w:lang w:val="en-US"/>
        </w:rPr>
        <w:t xml:space="preserve">)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24" w:after="0" w:line="260" w:lineRule="exact"/>
        <w:ind w:left="2585" w:right="4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Techniques seeking ef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ciency gains, such as the market mechanisms intro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duced by the Kyoto Protocol, </w:t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have been studied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in Chapter 5. Here, it will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suf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ce to recall why they reduce the costs of compliance with international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environmental obligations.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59" w:lineRule="exact"/>
        <w:ind w:left="2585" w:right="40" w:firstLine="199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We saw in Chapter 5 that the Kyoto Protocol established a number of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w w:val="108"/>
          <w:sz w:val="20"/>
          <w:szCs w:val="20"/>
          <w:lang w:val="en-US"/>
        </w:rPr>
        <w:t>‘fl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exible mechanisms</w:t>
      </w:r>
      <w:r w:rsidRPr="00B56D34">
        <w:rPr>
          <w:rFonts w:ascii="Arial" w:hAnsi="Arial" w:cs="Arial"/>
          <w:color w:val="000000"/>
          <w:w w:val="108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 in the form of emissions trading (Article 17) and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project-based mechanisms (the JI (Article 6) and the CDM (Article 12)).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These  mechanisms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have  several  advantages.  </w:t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From  the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perspective  of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assistance, they help channel funds to environmental projects and, as the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case may be, also to transfer certain technologies that help reduce emissions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>as compared to a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business as usual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(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BAU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) scenario. Importantly, they can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>also generate ef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ciency gains in developed countries. The costs of achieving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additional emissions reduction in countries like Switzerland or Germany,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  <w:t xml:space="preserve">whose production processes already employ modern technology, may be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much higher than achieving such reductions in countries where</w:t>
      </w:r>
      <w:r w:rsidRPr="00B56D34">
        <w:rPr>
          <w:rFonts w:ascii="Arial" w:hAnsi="Arial" w:cs="Arial"/>
          <w:color w:val="000000"/>
          <w:w w:val="107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dirtier</w:t>
      </w:r>
      <w:r w:rsidRPr="00B56D34">
        <w:rPr>
          <w:rFonts w:ascii="Arial" w:hAnsi="Arial" w:cs="Arial"/>
          <w:color w:val="000000"/>
          <w:w w:val="107"/>
          <w:sz w:val="20"/>
          <w:szCs w:val="20"/>
          <w:lang w:val="en-US"/>
        </w:rPr>
        <w:t xml:space="preserve">’ </w:t>
      </w:r>
      <w:r w:rsidRPr="00B56D34">
        <w:rPr>
          <w:rFonts w:ascii="Arial" w:hAnsi="Arial" w:cs="Arial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technologies are still widespread. Thus, from a cost/bene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 perspective, seek-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ing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to reduce emissions in countries such as Switzerland or Germany is likely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to be less ef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cient than doing so in countries, such as China or Mexico, where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the margin of improvement is wider. This is important because the emissions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of  carbon</w:t>
      </w:r>
      <w:proofErr w:type="gram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 dioxide  have the same  impact on  the  global climate  system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regardless of whether they stem from Switzerland or China. In this context,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mechanisms that allow </w:t>
      </w:r>
      <w:proofErr w:type="gram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countries  like</w:t>
      </w:r>
      <w:proofErr w:type="gram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Switzerland  to comply with their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obligations by achieving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(directly or indirectly) emissions reductions in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countries (e.g. China) where this is cheaper clearly generate ef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ciency gains.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This is the reasoning underpinning the search for ef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ciency through market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mechanisms.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70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4" w:after="0" w:line="256" w:lineRule="exact"/>
        <w:ind w:left="2585" w:right="40" w:firstLine="199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Such an approach, however, also has its disadvantages. The main problem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relates to the wrong message that it may send to economic operators based in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developed countries, namely that there is no need to generate additional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emissions reductions in their own production processes because they can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offset any emissions at a lower cost in developing countries. It is for this reason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that the use of such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international measures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was limited under the Kyoto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Protocol to a certain percentage of the reductions required by the quanti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ed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76" w:after="0" w:line="184" w:lineRule="exact"/>
        <w:ind w:left="2585"/>
        <w:rPr>
          <w:rFonts w:ascii="Times New Roman" w:hAnsi="Times New Roman"/>
          <w:color w:val="000000"/>
          <w:w w:val="103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3"/>
          <w:sz w:val="17"/>
          <w:szCs w:val="17"/>
          <w:vertAlign w:val="superscript"/>
          <w:lang w:val="en-US"/>
        </w:rPr>
        <w:t>70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For</w:t>
      </w:r>
      <w:proofErr w:type="gram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a more general discussion of the use of market mechanisms in environmental law, see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3" w:after="0" w:line="200" w:lineRule="exact"/>
        <w:ind w:left="2780" w:right="72"/>
        <w:jc w:val="both"/>
        <w:rPr>
          <w:rFonts w:ascii="Times New Roman" w:hAnsi="Times New Roman"/>
          <w:color w:val="000000"/>
          <w:spacing w:val="-2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J. Freeman and C. </w:t>
      </w:r>
      <w:proofErr w:type="spellStart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>Kolstad</w:t>
      </w:r>
      <w:proofErr w:type="spellEnd"/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 (eds.), Moving to Markets in Environmental Regulation. Lessons from Thirty Years of Experience (Oxford University Press, 2006).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sectPr w:rsidR="00A368D8" w:rsidRPr="00B56D34">
          <w:pgSz w:w="10980" w:h="15120"/>
          <w:pgMar w:top="-20" w:right="142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35" type="#_x0000_t75" style="position:absolute;left:0;text-align:left;margin-left:161pt;margin-top:1in;width:319pt;height:8pt;z-index:-57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36" type="#_x0000_t75" style="position:absolute;left:0;text-align:left;margin-left:0;margin-top:723pt;width:32pt;height:32pt;z-index:-5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37" type="#_x0000_t75" style="position:absolute;left:0;text-align:left;margin-left:517pt;margin-top:723pt;width:32pt;height:32pt;z-index:-55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38" type="#_x0000_t75" style="position:absolute;left:0;text-align:left;margin-left:517pt;margin-top:0;width:32pt;height:31pt;z-index:-5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39" type="#_x0000_t75" style="position:absolute;left:0;text-align:left;margin-left:0;margin-top:0;width:32pt;height:31pt;z-index:-53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40" type="#_x0000_t75" style="position:absolute;left:0;text-align:left;margin-left:123pt;margin-top:123pt;width:303pt;height:508pt;z-index:-52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6" w:name="Pg363"/>
      <w:bookmarkEnd w:id="16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285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285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  <w:t>Managing non-compliance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763" w:right="40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commitments</w:t>
      </w:r>
      <w:proofErr w:type="gram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. A similar, albeit much more generous, approach has been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followed at the EU and domestic levels (e.g. in a non-member country such as Switzerland). Thus, ef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ciency techniques must be used within reasonable bounds </w:t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so as to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avoid undermining the core message of most environmental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protection instruments: reduce the level of pollution.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763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146"/>
        </w:tabs>
        <w:autoSpaceDE w:val="0"/>
        <w:autoSpaceDN w:val="0"/>
        <w:adjustRightInd w:val="0"/>
        <w:spacing w:before="133" w:after="0" w:line="264" w:lineRule="exact"/>
        <w:ind w:left="2763"/>
        <w:rPr>
          <w:rFonts w:ascii="Arial" w:hAnsi="Arial" w:cs="Arial"/>
          <w:color w:val="000000"/>
          <w:spacing w:val="-7"/>
          <w:w w:val="89"/>
          <w:sz w:val="23"/>
          <w:szCs w:val="23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3"/>
          <w:szCs w:val="23"/>
          <w:lang w:val="en-US"/>
        </w:rPr>
        <w:t>9.3</w:t>
      </w:r>
      <w:r w:rsidRPr="00B56D34">
        <w:rPr>
          <w:rFonts w:ascii="Arial" w:hAnsi="Arial" w:cs="Arial"/>
          <w:color w:val="000000"/>
          <w:spacing w:val="-8"/>
          <w:w w:val="88"/>
          <w:sz w:val="23"/>
          <w:szCs w:val="23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9"/>
          <w:sz w:val="23"/>
          <w:szCs w:val="23"/>
          <w:lang w:val="en-US"/>
        </w:rPr>
        <w:t>Techniques to manage non-compliance</w:t>
      </w:r>
    </w:p>
    <w:p w:rsidR="00A368D8" w:rsidRPr="00B56D34" w:rsidRDefault="00BB3753">
      <w:pPr>
        <w:widowControl w:val="0"/>
        <w:tabs>
          <w:tab w:val="left" w:pos="3256"/>
        </w:tabs>
        <w:autoSpaceDE w:val="0"/>
        <w:autoSpaceDN w:val="0"/>
        <w:adjustRightInd w:val="0"/>
        <w:spacing w:before="143" w:after="0" w:line="241" w:lineRule="exact"/>
        <w:ind w:left="2763"/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>9.3.1</w:t>
      </w: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21"/>
          <w:szCs w:val="21"/>
          <w:lang w:val="en-US"/>
        </w:rPr>
        <w:t>Non-compliance procedures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16" w:after="0" w:line="260" w:lineRule="exact"/>
        <w:ind w:left="2763" w:right="40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Non-compliance procedures (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NCPs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) play a very important role in the imple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mentation of environmental treaties.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71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Their main objective is to ensure a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satisfactory level of compliance with treaty obligations through the provision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of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nancial or technical assistance or the adoption of a series of sanctions. The main components of NCPs will be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analysed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in the following sections. Here, we </w:t>
      </w: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provide  some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background  with  respect  to  their  historical  origin,  their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approach to compliance and their main legal features.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763" w:right="40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Regarding the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rst element, like many other legal innovations, the origin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NCPs can be found in the Montreal Protocol and, more speci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cally in its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Article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8, according to which:</w:t>
      </w:r>
      <w:r w:rsidRPr="00B56D34">
        <w:rPr>
          <w:rFonts w:ascii="Arial" w:hAnsi="Arial" w:cs="Arial"/>
          <w:color w:val="000000"/>
          <w:w w:val="107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[t]he Parties, at their</w:t>
      </w:r>
      <w:r w:rsidRPr="00B56D34">
        <w:rPr>
          <w:rFonts w:ascii="Arial" w:hAnsi="Arial" w:cs="Arial"/>
          <w:color w:val="000000"/>
          <w:w w:val="107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rst meeting, shall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consider and approve procedures and institutional mechanisms for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determin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ing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non-compliance with the provisions of this Protocol and for treatment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Parties found to be in non-compliance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.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This provision was the basis for the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>establishment of the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rst modern NCP, and the model greatly in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uenced the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treaties adopted after the Montreal Protocol as well as some older instruments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that subsequently established NCPs.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763" w:right="40" w:firstLine="199"/>
        <w:jc w:val="both"/>
        <w:rPr>
          <w:rFonts w:ascii="Times New Roman" w:hAnsi="Times New Roman"/>
          <w:color w:val="000000"/>
          <w:w w:val="103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It is this model that has de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ned the general approach of compliance under-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lying NCPs. We have already referred to this approach in Chapter 2. Its two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 xml:space="preserve">main features are the non-confrontational character of the procedure and the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emphasis on the prevention of environmental damage. These two features are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closely related. Failure by a State to comply with an international obligation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may not be due to a lack of willingness to comply, but rather down to certain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technical or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nancial dif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culties. In this context, NCPs are intended to help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the State concerned to return to a situation of compliance or, at least, to keep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non-compliance within reasonable bounds. In doing so, NCPs seek to prevent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or mitigate environmental damage resulting from non-compliance without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stigmatising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the State </w:t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concerned.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72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In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those cases where the breach results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93" w:lineRule="exact"/>
        <w:ind w:left="2763"/>
        <w:rPr>
          <w:rFonts w:ascii="Times New Roman" w:hAnsi="Times New Roman"/>
          <w:color w:val="000000"/>
          <w:w w:val="103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93" w:lineRule="exact"/>
        <w:ind w:left="2763"/>
        <w:rPr>
          <w:rFonts w:ascii="Times New Roman" w:hAnsi="Times New Roman"/>
          <w:color w:val="000000"/>
          <w:w w:val="103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93" w:lineRule="exact"/>
        <w:ind w:left="2763"/>
        <w:rPr>
          <w:rFonts w:ascii="Times New Roman" w:hAnsi="Times New Roman"/>
          <w:color w:val="000000"/>
          <w:w w:val="103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177" w:after="0" w:line="193" w:lineRule="exact"/>
        <w:ind w:left="2763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71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On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these procedures, see T. Treves et al. (eds.), Non-Compliance Procedures and Mechanisms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and the Effectiveness of International Environmental Agreements (The Hague: TMC Asser Press, </w:t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2009); S.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Urbinati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Les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mécanismes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de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contrôle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et de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suivi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des conventions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internationales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de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protection de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l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environnement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(Milan: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Giuffrè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, 2009).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2" w:after="0" w:line="200" w:lineRule="exact"/>
        <w:ind w:left="2763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72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M. </w:t>
      </w:r>
      <w:proofErr w:type="spell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Koskenniemi</w:t>
      </w:r>
      <w:proofErr w:type="spell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,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Breach of Treaty or Non-Compliance? Re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fl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ections on the Enforcement of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>the Montreal Protocol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(1992) </w:t>
      </w:r>
      <w:proofErr w:type="gram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3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Yearbook of International Environmental Law 123.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sectPr w:rsidR="00A368D8" w:rsidRPr="00B56D34">
          <w:pgSz w:w="10980" w:h="15120"/>
          <w:pgMar w:top="-20" w:right="1246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41" type="#_x0000_t75" style="position:absolute;left:0;text-align:left;margin-left:153pt;margin-top:73pt;width:318pt;height:7pt;z-index:-51;mso-position-horizontal-relative:page;mso-position-vertical-relative:page" o:allowincell="f">
            <v:imagedata r:id="rId18" o:title=""/>
            <w10:wrap anchorx="page" anchory="page"/>
          </v:shape>
        </w:pict>
      </w:r>
      <w:r>
        <w:rPr>
          <w:noProof/>
        </w:rPr>
        <w:pict>
          <v:shape id="_x0000_s3242" type="#_x0000_t75" style="position:absolute;left:0;text-align:left;margin-left:0;margin-top:723pt;width:32pt;height:32pt;z-index:-5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43" type="#_x0000_t75" style="position:absolute;left:0;text-align:left;margin-left:517pt;margin-top:723pt;width:32pt;height:32pt;z-index:-49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44" type="#_x0000_t75" style="position:absolute;left:0;text-align:left;margin-left:517pt;margin-top:0;width:32pt;height:31pt;z-index:-48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45" type="#_x0000_t75" style="position:absolute;left:0;text-align:left;margin-left:0;margin-top:0;width:32pt;height:31pt;z-index:-47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46" type="#_x0000_t75" style="position:absolute;left:0;text-align:left;margin-left:123pt;margin-top:105pt;width:325pt;height:526pt;z-index:-46;mso-position-horizontal-relative:page;mso-position-vertical-relative:page" o:allowincell="f">
            <v:imagedata r:id="rId19" o:title=""/>
            <w10:wrap anchorx="page" anchory="page"/>
          </v:shape>
        </w:pict>
      </w:r>
      <w:bookmarkStart w:id="17" w:name="Pg364"/>
      <w:bookmarkEnd w:id="17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286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286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27" w:after="0" w:line="138" w:lineRule="exact"/>
        <w:ind w:left="912" w:firstLine="3832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Principal components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sectPr w:rsidR="00A368D8" w:rsidRPr="00B56D34">
          <w:pgSz w:w="10980" w:h="15120"/>
          <w:pgMar w:top="-20" w:right="1423" w:bottom="-20" w:left="552" w:header="720" w:footer="720" w:gutter="0"/>
          <w:cols w:space="720"/>
          <w:noEndnote/>
        </w:sect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784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784"/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14" w:after="0" w:line="138" w:lineRule="exact"/>
        <w:ind w:left="2784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>Legal basis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15" w:lineRule="exact"/>
        <w:ind w:left="2587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</w:p>
    <w:p w:rsidR="00A368D8" w:rsidRPr="00B56D34" w:rsidRDefault="00BB3753">
      <w:pPr>
        <w:widowControl w:val="0"/>
        <w:tabs>
          <w:tab w:val="left" w:pos="3770"/>
        </w:tabs>
        <w:autoSpaceDE w:val="0"/>
        <w:autoSpaceDN w:val="0"/>
        <w:adjustRightInd w:val="0"/>
        <w:spacing w:before="102" w:after="0" w:line="115" w:lineRule="exact"/>
        <w:ind w:left="2587"/>
        <w:rPr>
          <w:rFonts w:ascii="Arial" w:hAnsi="Arial" w:cs="Arial"/>
          <w:b/>
          <w:bCs/>
          <w:color w:val="2B2A29"/>
          <w:spacing w:val="-3"/>
          <w:sz w:val="10"/>
          <w:szCs w:val="10"/>
          <w:lang w:val="en-US"/>
        </w:rPr>
      </w:pPr>
      <w:r w:rsidRPr="00B56D34">
        <w:rPr>
          <w:rFonts w:ascii="Arial" w:hAnsi="Arial" w:cs="Arial"/>
          <w:b/>
          <w:bCs/>
          <w:color w:val="2B2A29"/>
          <w:w w:val="101"/>
          <w:sz w:val="10"/>
          <w:szCs w:val="10"/>
          <w:lang w:val="en-US"/>
        </w:rPr>
        <w:t xml:space="preserve">Explicit </w:t>
      </w:r>
      <w:proofErr w:type="gramStart"/>
      <w:r w:rsidRPr="00B56D34">
        <w:rPr>
          <w:rFonts w:ascii="Arial" w:hAnsi="Arial" w:cs="Arial"/>
          <w:b/>
          <w:bCs/>
          <w:color w:val="2B2A29"/>
          <w:w w:val="101"/>
          <w:sz w:val="10"/>
          <w:szCs w:val="10"/>
          <w:lang w:val="en-US"/>
        </w:rPr>
        <w:t>in  Implicit</w:t>
      </w:r>
      <w:proofErr w:type="gramEnd"/>
      <w:r w:rsidRPr="00B56D34">
        <w:rPr>
          <w:rFonts w:ascii="Arial" w:hAnsi="Arial" w:cs="Arial"/>
          <w:b/>
          <w:bCs/>
          <w:color w:val="2B2A29"/>
          <w:w w:val="101"/>
          <w:sz w:val="10"/>
          <w:szCs w:val="10"/>
          <w:lang w:val="en-US"/>
        </w:rPr>
        <w:t xml:space="preserve"> </w:t>
      </w:r>
      <w:r w:rsidRPr="00B56D34">
        <w:rPr>
          <w:rFonts w:ascii="Arial" w:hAnsi="Arial" w:cs="Arial"/>
          <w:b/>
          <w:bCs/>
          <w:color w:val="2B2A29"/>
          <w:w w:val="101"/>
          <w:sz w:val="10"/>
          <w:szCs w:val="10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-3"/>
          <w:sz w:val="10"/>
          <w:szCs w:val="10"/>
          <w:lang w:val="en-US"/>
        </w:rPr>
        <w:t>Treaty</w:t>
      </w:r>
    </w:p>
    <w:p w:rsidR="00A368D8" w:rsidRPr="00B56D34" w:rsidRDefault="00BB3753">
      <w:pPr>
        <w:widowControl w:val="0"/>
        <w:tabs>
          <w:tab w:val="left" w:pos="3177"/>
        </w:tabs>
        <w:autoSpaceDE w:val="0"/>
        <w:autoSpaceDN w:val="0"/>
        <w:adjustRightInd w:val="0"/>
        <w:spacing w:before="3" w:after="0" w:line="115" w:lineRule="exact"/>
        <w:ind w:left="2587"/>
        <w:rPr>
          <w:rFonts w:ascii="Arial" w:hAnsi="Arial" w:cs="Arial"/>
          <w:b/>
          <w:bCs/>
          <w:color w:val="2B2A29"/>
          <w:spacing w:val="-3"/>
          <w:sz w:val="10"/>
          <w:szCs w:val="10"/>
          <w:lang w:val="en-US"/>
        </w:rPr>
      </w:pPr>
      <w:proofErr w:type="gramStart"/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>the</w:t>
      </w:r>
      <w:proofErr w:type="gramEnd"/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 xml:space="preserve"> treaty</w:t>
      </w:r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-3"/>
          <w:sz w:val="10"/>
          <w:szCs w:val="10"/>
          <w:lang w:val="en-US"/>
        </w:rPr>
        <w:t xml:space="preserve">(COP </w:t>
      </w:r>
      <w:proofErr w:type="spellStart"/>
      <w:r w:rsidRPr="00B56D34">
        <w:rPr>
          <w:rFonts w:ascii="Arial" w:hAnsi="Arial" w:cs="Arial"/>
          <w:b/>
          <w:bCs/>
          <w:color w:val="2B2A29"/>
          <w:spacing w:val="-3"/>
          <w:sz w:val="10"/>
          <w:szCs w:val="10"/>
          <w:lang w:val="en-US"/>
        </w:rPr>
        <w:t>dec.</w:t>
      </w:r>
      <w:proofErr w:type="spellEnd"/>
      <w:r w:rsidRPr="00B56D34">
        <w:rPr>
          <w:rFonts w:ascii="Arial" w:hAnsi="Arial" w:cs="Arial"/>
          <w:b/>
          <w:bCs/>
          <w:color w:val="2B2A29"/>
          <w:spacing w:val="-3"/>
          <w:sz w:val="10"/>
          <w:szCs w:val="10"/>
          <w:lang w:val="en-US"/>
        </w:rPr>
        <w:t>)  Organ</w:t>
      </w:r>
    </w:p>
    <w:p w:rsidR="00A368D8" w:rsidRPr="00B56D34" w:rsidRDefault="00BB3753">
      <w:pPr>
        <w:widowControl w:val="0"/>
        <w:tabs>
          <w:tab w:val="left" w:pos="3226"/>
          <w:tab w:val="left" w:pos="3797"/>
        </w:tabs>
        <w:autoSpaceDE w:val="0"/>
        <w:autoSpaceDN w:val="0"/>
        <w:adjustRightInd w:val="0"/>
        <w:spacing w:before="69" w:after="0" w:line="115" w:lineRule="exact"/>
        <w:ind w:left="2662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e.g.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</w:p>
    <w:p w:rsidR="00A368D8" w:rsidRPr="00B56D34" w:rsidRDefault="00BB3753">
      <w:pPr>
        <w:widowControl w:val="0"/>
        <w:tabs>
          <w:tab w:val="left" w:pos="3226"/>
          <w:tab w:val="left" w:pos="3752"/>
        </w:tabs>
        <w:autoSpaceDE w:val="0"/>
        <w:autoSpaceDN w:val="0"/>
        <w:adjustRightInd w:val="0"/>
        <w:spacing w:after="0" w:line="111" w:lineRule="exact"/>
        <w:ind w:left="2662"/>
        <w:rPr>
          <w:rFonts w:ascii="Arial" w:hAnsi="Arial" w:cs="Arial"/>
          <w:color w:val="2B2A29"/>
          <w:spacing w:val="-2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Montreal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Ramsar</w:t>
      </w:r>
      <w:proofErr w:type="spellEnd"/>
      <w:r w:rsidRPr="00B56D34">
        <w:rPr>
          <w:rFonts w:ascii="Arial" w:hAnsi="Arial" w:cs="Arial"/>
          <w:color w:val="2B2A29"/>
          <w:sz w:val="10"/>
          <w:szCs w:val="10"/>
          <w:lang w:val="en-US"/>
        </w:rPr>
        <w:t xml:space="preserve"> 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pacing w:val="-2"/>
          <w:sz w:val="10"/>
          <w:szCs w:val="10"/>
          <w:lang w:val="en-US"/>
        </w:rPr>
        <w:t>Montreal</w:t>
      </w:r>
    </w:p>
    <w:p w:rsidR="00A368D8" w:rsidRPr="00B56D34" w:rsidRDefault="00BB3753">
      <w:pPr>
        <w:widowControl w:val="0"/>
        <w:tabs>
          <w:tab w:val="left" w:pos="3226"/>
          <w:tab w:val="left" w:pos="3797"/>
        </w:tabs>
        <w:autoSpaceDE w:val="0"/>
        <w:autoSpaceDN w:val="0"/>
        <w:adjustRightInd w:val="0"/>
        <w:spacing w:after="0" w:line="111" w:lineRule="exact"/>
        <w:ind w:left="2662"/>
        <w:rPr>
          <w:rFonts w:ascii="Arial" w:hAnsi="Arial" w:cs="Arial"/>
          <w:color w:val="2B2A29"/>
          <w:spacing w:val="-1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Kyoto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  <w:t>CITES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  <w:t>Basel</w:t>
      </w:r>
    </w:p>
    <w:p w:rsidR="00A368D8" w:rsidRPr="00B56D34" w:rsidRDefault="00BB3753">
      <w:pPr>
        <w:widowControl w:val="0"/>
        <w:tabs>
          <w:tab w:val="left" w:pos="3226"/>
          <w:tab w:val="left" w:pos="3752"/>
        </w:tabs>
        <w:autoSpaceDE w:val="0"/>
        <w:autoSpaceDN w:val="0"/>
        <w:adjustRightInd w:val="0"/>
        <w:spacing w:after="0" w:line="111" w:lineRule="exact"/>
        <w:ind w:left="2662"/>
        <w:rPr>
          <w:rFonts w:ascii="Arial" w:hAnsi="Arial" w:cs="Arial"/>
          <w:color w:val="2B2A29"/>
          <w:spacing w:val="-2"/>
          <w:sz w:val="10"/>
          <w:szCs w:val="10"/>
          <w:lang w:val="en-US"/>
        </w:rPr>
      </w:pPr>
      <w:proofErr w:type="spellStart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Cartag</w:t>
      </w:r>
      <w:proofErr w:type="spellEnd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 xml:space="preserve">Basle 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pacing w:val="-2"/>
          <w:sz w:val="10"/>
          <w:szCs w:val="10"/>
          <w:lang w:val="en-US"/>
        </w:rPr>
        <w:t>CITES</w:t>
      </w:r>
    </w:p>
    <w:p w:rsidR="00A368D8" w:rsidRPr="00B56D34" w:rsidRDefault="00BB3753">
      <w:pPr>
        <w:widowControl w:val="0"/>
        <w:tabs>
          <w:tab w:val="left" w:pos="3752"/>
        </w:tabs>
        <w:autoSpaceDE w:val="0"/>
        <w:autoSpaceDN w:val="0"/>
        <w:adjustRightInd w:val="0"/>
        <w:spacing w:after="0" w:line="111" w:lineRule="exact"/>
        <w:ind w:left="2662"/>
        <w:rPr>
          <w:rFonts w:ascii="Arial" w:hAnsi="Arial" w:cs="Arial"/>
          <w:color w:val="2B2A29"/>
          <w:spacing w:val="-3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 xml:space="preserve">Aarhus 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pacing w:val="-3"/>
          <w:sz w:val="10"/>
          <w:szCs w:val="10"/>
          <w:lang w:val="en-US"/>
        </w:rPr>
        <w:t>Aarhus</w:t>
      </w:r>
      <w:proofErr w:type="spellEnd"/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138" w:lineRule="exact"/>
        <w:ind w:left="239"/>
        <w:rPr>
          <w:rFonts w:ascii="Arial" w:hAnsi="Arial" w:cs="Arial"/>
          <w:color w:val="2B2A29"/>
          <w:spacing w:val="-3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pacing w:val="-3"/>
          <w:sz w:val="10"/>
          <w:szCs w:val="10"/>
          <w:lang w:val="en-US"/>
        </w:rPr>
        <w:br w:type="column"/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239"/>
        <w:rPr>
          <w:rFonts w:ascii="Arial" w:hAnsi="Arial" w:cs="Arial"/>
          <w:color w:val="2B2A29"/>
          <w:spacing w:val="-3"/>
          <w:sz w:val="10"/>
          <w:szCs w:val="1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95" w:after="0" w:line="138" w:lineRule="exact"/>
        <w:ind w:left="239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>Trigger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15" w:lineRule="exact"/>
        <w:ind w:left="139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15" w:lineRule="exact"/>
        <w:ind w:left="139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58" w:after="0" w:line="115" w:lineRule="exact"/>
        <w:ind w:left="139"/>
        <w:rPr>
          <w:rFonts w:ascii="Arial" w:hAnsi="Arial" w:cs="Arial"/>
          <w:b/>
          <w:bCs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>States parties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11" w:lineRule="exact"/>
        <w:ind w:left="10"/>
        <w:jc w:val="both"/>
        <w:rPr>
          <w:rFonts w:ascii="Arial" w:hAnsi="Arial" w:cs="Arial"/>
          <w:b/>
          <w:bCs/>
          <w:color w:val="2B2A29"/>
          <w:sz w:val="10"/>
          <w:szCs w:val="10"/>
          <w:lang w:val="en-US"/>
        </w:rPr>
      </w:pPr>
    </w:p>
    <w:p w:rsidR="00A368D8" w:rsidRPr="00B56D34" w:rsidRDefault="00BB3753">
      <w:pPr>
        <w:widowControl w:val="0"/>
        <w:tabs>
          <w:tab w:val="left" w:pos="555"/>
        </w:tabs>
        <w:autoSpaceDE w:val="0"/>
        <w:autoSpaceDN w:val="0"/>
        <w:adjustRightInd w:val="0"/>
        <w:spacing w:before="81" w:after="0" w:line="111" w:lineRule="exact"/>
        <w:ind w:left="10" w:right="-60"/>
        <w:jc w:val="both"/>
        <w:rPr>
          <w:rFonts w:ascii="Arial" w:hAnsi="Arial" w:cs="Arial"/>
          <w:b/>
          <w:bCs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b/>
          <w:bCs/>
          <w:color w:val="2B2A29"/>
          <w:spacing w:val="-1"/>
          <w:sz w:val="10"/>
          <w:szCs w:val="10"/>
          <w:lang w:val="en-US"/>
        </w:rPr>
        <w:t xml:space="preserve">State </w:t>
      </w:r>
      <w:r w:rsidRPr="00B56D34">
        <w:rPr>
          <w:rFonts w:ascii="Arial" w:hAnsi="Arial" w:cs="Arial"/>
          <w:b/>
          <w:bCs/>
          <w:color w:val="2B2A29"/>
          <w:spacing w:val="-1"/>
          <w:sz w:val="10"/>
          <w:szCs w:val="10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-2"/>
          <w:sz w:val="10"/>
          <w:szCs w:val="10"/>
          <w:lang w:val="en-US"/>
        </w:rPr>
        <w:t xml:space="preserve">Others </w:t>
      </w:r>
      <w:r w:rsidRPr="00B56D34">
        <w:rPr>
          <w:rFonts w:ascii="Arial" w:hAnsi="Arial" w:cs="Arial"/>
          <w:b/>
          <w:bCs/>
          <w:color w:val="2B2A29"/>
          <w:spacing w:val="-2"/>
          <w:sz w:val="10"/>
          <w:szCs w:val="10"/>
          <w:lang w:val="en-US"/>
        </w:rPr>
        <w:br/>
      </w:r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>concerned</w:t>
      </w:r>
    </w:p>
    <w:p w:rsidR="00A368D8" w:rsidRPr="00B56D34" w:rsidRDefault="00BB3753">
      <w:pPr>
        <w:widowControl w:val="0"/>
        <w:tabs>
          <w:tab w:val="left" w:pos="701"/>
        </w:tabs>
        <w:autoSpaceDE w:val="0"/>
        <w:autoSpaceDN w:val="0"/>
        <w:adjustRightInd w:val="0"/>
        <w:spacing w:after="0" w:line="109" w:lineRule="exact"/>
        <w:ind w:left="10"/>
        <w:rPr>
          <w:rFonts w:ascii="Arial" w:hAnsi="Arial" w:cs="Arial"/>
          <w:color w:val="2B2A29"/>
          <w:spacing w:val="-1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 xml:space="preserve">e.g. 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pacing w:val="-1"/>
          <w:sz w:val="10"/>
          <w:szCs w:val="10"/>
          <w:u w:val="single"/>
          <w:lang w:val="en-US"/>
        </w:rPr>
        <w:t>All</w:t>
      </w:r>
    </w:p>
    <w:p w:rsidR="00A368D8" w:rsidRPr="00B56D34" w:rsidRDefault="00BB3753">
      <w:pPr>
        <w:widowControl w:val="0"/>
        <w:tabs>
          <w:tab w:val="left" w:pos="640"/>
        </w:tabs>
        <w:autoSpaceDE w:val="0"/>
        <w:autoSpaceDN w:val="0"/>
        <w:adjustRightInd w:val="0"/>
        <w:spacing w:after="0" w:line="111" w:lineRule="exact"/>
        <w:ind w:left="10"/>
        <w:rPr>
          <w:rFonts w:ascii="Arial" w:hAnsi="Arial" w:cs="Arial"/>
          <w:color w:val="2B2A29"/>
          <w:spacing w:val="-1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 xml:space="preserve">Montreal 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e.g.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138" w:lineRule="exact"/>
        <w:ind w:left="493"/>
        <w:rPr>
          <w:rFonts w:ascii="Arial" w:hAnsi="Arial" w:cs="Arial"/>
          <w:color w:val="2B2A29"/>
          <w:spacing w:val="-1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br w:type="column"/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38" w:lineRule="exact"/>
        <w:ind w:left="493"/>
        <w:rPr>
          <w:rFonts w:ascii="Arial" w:hAnsi="Arial" w:cs="Arial"/>
          <w:color w:val="2B2A29"/>
          <w:spacing w:val="-1"/>
          <w:sz w:val="10"/>
          <w:szCs w:val="10"/>
          <w:lang w:val="en-US"/>
        </w:rPr>
      </w:pPr>
    </w:p>
    <w:p w:rsidR="00A368D8" w:rsidRPr="00B56D34" w:rsidRDefault="00BB3753">
      <w:pPr>
        <w:widowControl w:val="0"/>
        <w:tabs>
          <w:tab w:val="left" w:pos="2083"/>
        </w:tabs>
        <w:autoSpaceDE w:val="0"/>
        <w:autoSpaceDN w:val="0"/>
        <w:adjustRightInd w:val="0"/>
        <w:spacing w:before="95" w:after="0" w:line="138" w:lineRule="exact"/>
        <w:ind w:left="493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>Composition</w:t>
      </w:r>
      <w:r w:rsidRPr="00B56D34">
        <w:rPr>
          <w:rFonts w:ascii="Arial" w:hAnsi="Arial" w:cs="Arial"/>
          <w:b/>
          <w:bCs/>
          <w:color w:val="2B2A29"/>
          <w:spacing w:val="1"/>
          <w:sz w:val="12"/>
          <w:szCs w:val="12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z w:val="12"/>
          <w:szCs w:val="12"/>
          <w:lang w:val="en-US"/>
        </w:rPr>
        <w:t>Outcomes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15" w:lineRule="exact"/>
        <w:ind w:left="10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15" w:lineRule="exact"/>
        <w:ind w:left="10"/>
        <w:rPr>
          <w:rFonts w:ascii="Arial" w:hAnsi="Arial" w:cs="Arial"/>
          <w:b/>
          <w:bCs/>
          <w:color w:val="2B2A29"/>
          <w:sz w:val="12"/>
          <w:szCs w:val="12"/>
          <w:lang w:val="en-US"/>
        </w:rPr>
      </w:pPr>
    </w:p>
    <w:p w:rsidR="00A368D8" w:rsidRPr="00B56D34" w:rsidRDefault="00BB3753">
      <w:pPr>
        <w:widowControl w:val="0"/>
        <w:tabs>
          <w:tab w:val="left" w:pos="1473"/>
        </w:tabs>
        <w:autoSpaceDE w:val="0"/>
        <w:autoSpaceDN w:val="0"/>
        <w:adjustRightInd w:val="0"/>
        <w:spacing w:before="6" w:after="0" w:line="115" w:lineRule="exact"/>
        <w:ind w:left="10"/>
        <w:rPr>
          <w:rFonts w:ascii="Arial" w:hAnsi="Arial" w:cs="Arial"/>
          <w:b/>
          <w:bCs/>
          <w:color w:val="2B2A29"/>
          <w:sz w:val="10"/>
          <w:szCs w:val="10"/>
          <w:lang w:val="en-US"/>
        </w:rPr>
      </w:pPr>
      <w:proofErr w:type="gramStart"/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 xml:space="preserve">Private  </w:t>
      </w:r>
      <w:r w:rsidRPr="00B56D34">
        <w:rPr>
          <w:rFonts w:ascii="Arial" w:hAnsi="Arial" w:cs="Arial"/>
          <w:b/>
          <w:bCs/>
          <w:color w:val="2B2A29"/>
          <w:spacing w:val="-1"/>
          <w:sz w:val="10"/>
          <w:szCs w:val="10"/>
          <w:lang w:val="en-US"/>
        </w:rPr>
        <w:t>State</w:t>
      </w:r>
      <w:proofErr w:type="gramEnd"/>
      <w:r w:rsidRPr="00B56D34">
        <w:rPr>
          <w:rFonts w:ascii="Arial" w:hAnsi="Arial" w:cs="Arial"/>
          <w:b/>
          <w:bCs/>
          <w:color w:val="2B2A29"/>
          <w:spacing w:val="-1"/>
          <w:sz w:val="10"/>
          <w:szCs w:val="10"/>
          <w:lang w:val="en-US"/>
        </w:rPr>
        <w:t xml:space="preserve"> reps.  </w:t>
      </w:r>
      <w:proofErr w:type="spellStart"/>
      <w:r w:rsidRPr="00B56D34">
        <w:rPr>
          <w:rFonts w:ascii="Arial" w:hAnsi="Arial" w:cs="Arial"/>
          <w:b/>
          <w:bCs/>
          <w:color w:val="2B2A29"/>
          <w:spacing w:val="-1"/>
          <w:sz w:val="10"/>
          <w:szCs w:val="10"/>
          <w:lang w:val="en-US"/>
        </w:rPr>
        <w:t>Indep</w:t>
      </w:r>
      <w:proofErr w:type="spellEnd"/>
      <w:r w:rsidRPr="00B56D34">
        <w:rPr>
          <w:rFonts w:ascii="Arial" w:hAnsi="Arial" w:cs="Arial"/>
          <w:b/>
          <w:bCs/>
          <w:color w:val="2B2A29"/>
          <w:spacing w:val="-1"/>
          <w:sz w:val="10"/>
          <w:szCs w:val="10"/>
          <w:lang w:val="en-US"/>
        </w:rPr>
        <w:t>.</w:t>
      </w:r>
      <w:r w:rsidRPr="00B56D34">
        <w:rPr>
          <w:rFonts w:ascii="Arial" w:hAnsi="Arial" w:cs="Arial"/>
          <w:b/>
          <w:bCs/>
          <w:color w:val="2B2A29"/>
          <w:spacing w:val="-1"/>
          <w:sz w:val="10"/>
          <w:szCs w:val="10"/>
          <w:lang w:val="en-US"/>
        </w:rPr>
        <w:tab/>
      </w:r>
      <w:proofErr w:type="gramStart"/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>Assistance  Requests</w:t>
      </w:r>
      <w:proofErr w:type="gramEnd"/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 xml:space="preserve"> for  Warnings and</w:t>
      </w:r>
    </w:p>
    <w:p w:rsidR="00A368D8" w:rsidRPr="00B56D34" w:rsidRDefault="00BB3753">
      <w:pPr>
        <w:widowControl w:val="0"/>
        <w:tabs>
          <w:tab w:val="left" w:pos="2121"/>
          <w:tab w:val="left" w:pos="2843"/>
        </w:tabs>
        <w:autoSpaceDE w:val="0"/>
        <w:autoSpaceDN w:val="0"/>
        <w:adjustRightInd w:val="0"/>
        <w:spacing w:before="3" w:after="0" w:line="115" w:lineRule="exact"/>
        <w:ind w:left="1030"/>
        <w:rPr>
          <w:rFonts w:ascii="Arial" w:hAnsi="Arial" w:cs="Arial"/>
          <w:b/>
          <w:bCs/>
          <w:color w:val="2B2A29"/>
          <w:spacing w:val="1"/>
          <w:sz w:val="10"/>
          <w:szCs w:val="10"/>
          <w:lang w:val="en-US"/>
        </w:rPr>
      </w:pPr>
      <w:proofErr w:type="gramStart"/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>experts</w:t>
      </w:r>
      <w:proofErr w:type="gramEnd"/>
      <w:r w:rsidRPr="00B56D34">
        <w:rPr>
          <w:rFonts w:ascii="Arial" w:hAnsi="Arial" w:cs="Arial"/>
          <w:b/>
          <w:bCs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b/>
          <w:bCs/>
          <w:color w:val="2B2A29"/>
          <w:spacing w:val="1"/>
          <w:sz w:val="10"/>
          <w:szCs w:val="10"/>
          <w:lang w:val="en-US"/>
        </w:rPr>
        <w:t>information</w:t>
      </w:r>
      <w:r w:rsidRPr="00B56D34">
        <w:rPr>
          <w:rFonts w:ascii="Arial" w:hAnsi="Arial" w:cs="Arial"/>
          <w:b/>
          <w:bCs/>
          <w:color w:val="2B2A29"/>
          <w:spacing w:val="1"/>
          <w:sz w:val="10"/>
          <w:szCs w:val="10"/>
          <w:lang w:val="en-US"/>
        </w:rPr>
        <w:tab/>
        <w:t>sanctions</w:t>
      </w:r>
    </w:p>
    <w:p w:rsidR="00A368D8" w:rsidRPr="00B56D34" w:rsidRDefault="00BB3753">
      <w:pPr>
        <w:widowControl w:val="0"/>
        <w:tabs>
          <w:tab w:val="left" w:pos="478"/>
          <w:tab w:val="left" w:pos="1511"/>
        </w:tabs>
        <w:autoSpaceDE w:val="0"/>
        <w:autoSpaceDN w:val="0"/>
        <w:adjustRightInd w:val="0"/>
        <w:spacing w:after="0" w:line="90" w:lineRule="exact"/>
        <w:ind w:left="10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e.g.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</w:p>
    <w:p w:rsidR="00A368D8" w:rsidRPr="00B56D34" w:rsidRDefault="00BB3753">
      <w:pPr>
        <w:widowControl w:val="0"/>
        <w:tabs>
          <w:tab w:val="left" w:pos="478"/>
          <w:tab w:val="left" w:pos="1055"/>
          <w:tab w:val="left" w:pos="1511"/>
          <w:tab w:val="left" w:pos="2121"/>
          <w:tab w:val="left" w:pos="2862"/>
        </w:tabs>
        <w:autoSpaceDE w:val="0"/>
        <w:autoSpaceDN w:val="0"/>
        <w:adjustRightInd w:val="0"/>
        <w:spacing w:after="0" w:line="90" w:lineRule="exact"/>
        <w:ind w:left="10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Aarhus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Montreal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Montreal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</w:p>
    <w:p w:rsidR="00A368D8" w:rsidRPr="00B56D34" w:rsidRDefault="00BB3753">
      <w:pPr>
        <w:widowControl w:val="0"/>
        <w:tabs>
          <w:tab w:val="left" w:pos="478"/>
          <w:tab w:val="left" w:pos="1055"/>
          <w:tab w:val="left" w:pos="1511"/>
          <w:tab w:val="left" w:pos="2121"/>
          <w:tab w:val="left" w:pos="2862"/>
        </w:tabs>
        <w:autoSpaceDE w:val="0"/>
        <w:autoSpaceDN w:val="0"/>
        <w:adjustRightInd w:val="0"/>
        <w:spacing w:after="0" w:line="111" w:lineRule="exact"/>
        <w:ind w:left="10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Alpine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(Basel)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Kyoto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  <w:t>CITES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>Montreal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Montreal</w:t>
      </w:r>
      <w:proofErr w:type="spellEnd"/>
    </w:p>
    <w:p w:rsidR="00A368D8" w:rsidRPr="00B56D34" w:rsidRDefault="00BB3753">
      <w:pPr>
        <w:widowControl w:val="0"/>
        <w:tabs>
          <w:tab w:val="left" w:pos="1511"/>
          <w:tab w:val="left" w:pos="2121"/>
          <w:tab w:val="left" w:pos="2862"/>
        </w:tabs>
        <w:autoSpaceDE w:val="0"/>
        <w:autoSpaceDN w:val="0"/>
        <w:adjustRightInd w:val="0"/>
        <w:spacing w:after="0" w:line="111" w:lineRule="exact"/>
        <w:ind w:left="1030"/>
        <w:rPr>
          <w:rFonts w:ascii="Arial" w:hAnsi="Arial" w:cs="Arial"/>
          <w:color w:val="2B2A29"/>
          <w:spacing w:val="-1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Aarhus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Basel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  <w:t>CITES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CITES</w:t>
      </w:r>
      <w:proofErr w:type="spellEnd"/>
    </w:p>
    <w:p w:rsidR="00A368D8" w:rsidRPr="00B56D34" w:rsidRDefault="00BB3753">
      <w:pPr>
        <w:widowControl w:val="0"/>
        <w:tabs>
          <w:tab w:val="left" w:pos="2121"/>
          <w:tab w:val="left" w:pos="2862"/>
        </w:tabs>
        <w:autoSpaceDE w:val="0"/>
        <w:autoSpaceDN w:val="0"/>
        <w:adjustRightInd w:val="0"/>
        <w:spacing w:after="0" w:line="111" w:lineRule="exact"/>
        <w:ind w:left="1486"/>
        <w:rPr>
          <w:rFonts w:ascii="Arial" w:hAnsi="Arial" w:cs="Arial"/>
          <w:color w:val="2B2A29"/>
          <w:spacing w:val="-1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Kyoto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Kyoto</w:t>
      </w:r>
      <w:proofErr w:type="spellEnd"/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Kyoto</w:t>
      </w:r>
      <w:proofErr w:type="spellEnd"/>
    </w:p>
    <w:p w:rsidR="00A368D8" w:rsidRPr="00B56D34" w:rsidRDefault="00BB3753">
      <w:pPr>
        <w:widowControl w:val="0"/>
        <w:tabs>
          <w:tab w:val="left" w:pos="2121"/>
          <w:tab w:val="left" w:pos="2862"/>
        </w:tabs>
        <w:autoSpaceDE w:val="0"/>
        <w:autoSpaceDN w:val="0"/>
        <w:adjustRightInd w:val="0"/>
        <w:spacing w:after="0" w:line="111" w:lineRule="exact"/>
        <w:ind w:left="1486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Aarhus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Aarhus</w:t>
      </w:r>
      <w:proofErr w:type="spellEnd"/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proofErr w:type="spellStart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Aarhus</w:t>
      </w:r>
      <w:proofErr w:type="spellEnd"/>
      <w:r w:rsidRPr="00B56D34">
        <w:rPr>
          <w:rFonts w:ascii="Arial" w:hAnsi="Arial" w:cs="Arial"/>
          <w:color w:val="2B2A29"/>
          <w:sz w:val="10"/>
          <w:szCs w:val="10"/>
          <w:lang w:val="en-US"/>
        </w:rPr>
        <w:t xml:space="preserve">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9"/>
          <w:sz w:val="10"/>
          <w:szCs w:val="10"/>
          <w:lang w:val="en-US"/>
        </w:rPr>
        <w:sectPr w:rsidR="00A368D8" w:rsidRPr="00B56D34">
          <w:type w:val="continuous"/>
          <w:pgSz w:w="10980" w:h="15120"/>
          <w:pgMar w:top="-20" w:right="1423" w:bottom="-20" w:left="552" w:header="720" w:footer="720" w:gutter="0"/>
          <w:cols w:num="3" w:space="720" w:equalWidth="0">
            <w:col w:w="4227" w:space="40"/>
            <w:col w:w="963" w:space="40"/>
            <w:col w:w="3573"/>
          </w:cols>
          <w:noEndnote/>
        </w:sectPr>
      </w:pPr>
    </w:p>
    <w:p w:rsidR="00A368D8" w:rsidRPr="00B56D34" w:rsidRDefault="00BB3753">
      <w:pPr>
        <w:widowControl w:val="0"/>
        <w:tabs>
          <w:tab w:val="left" w:pos="4908"/>
        </w:tabs>
        <w:autoSpaceDE w:val="0"/>
        <w:autoSpaceDN w:val="0"/>
        <w:adjustRightInd w:val="0"/>
        <w:spacing w:after="0" w:line="90" w:lineRule="exact"/>
        <w:ind w:left="4278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lastRenderedPageBreak/>
        <w:t>Basel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Montreal</w:t>
      </w:r>
    </w:p>
    <w:p w:rsidR="00A368D8" w:rsidRPr="00B56D34" w:rsidRDefault="00BB3753">
      <w:pPr>
        <w:widowControl w:val="0"/>
        <w:tabs>
          <w:tab w:val="left" w:pos="4908"/>
        </w:tabs>
        <w:autoSpaceDE w:val="0"/>
        <w:autoSpaceDN w:val="0"/>
        <w:adjustRightInd w:val="0"/>
        <w:spacing w:after="0" w:line="90" w:lineRule="exact"/>
        <w:ind w:left="4278"/>
        <w:rPr>
          <w:rFonts w:ascii="Arial" w:hAnsi="Arial" w:cs="Arial"/>
          <w:color w:val="2B2A29"/>
          <w:sz w:val="10"/>
          <w:szCs w:val="10"/>
          <w:lang w:val="en-US"/>
        </w:rPr>
      </w:pPr>
      <w:proofErr w:type="spellStart"/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Ramsar</w:t>
      </w:r>
      <w:proofErr w:type="spellEnd"/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>Kyoto</w:t>
      </w:r>
    </w:p>
    <w:p w:rsidR="00A368D8" w:rsidRPr="00B56D34" w:rsidRDefault="00BB3753">
      <w:pPr>
        <w:widowControl w:val="0"/>
        <w:tabs>
          <w:tab w:val="left" w:pos="4908"/>
        </w:tabs>
        <w:autoSpaceDE w:val="0"/>
        <w:autoSpaceDN w:val="0"/>
        <w:adjustRightInd w:val="0"/>
        <w:spacing w:after="0" w:line="90" w:lineRule="exact"/>
        <w:ind w:left="4278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>CITES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>Aarhus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115" w:lineRule="exact"/>
        <w:ind w:left="4278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Kyoto</w:t>
      </w:r>
    </w:p>
    <w:p w:rsidR="00A368D8" w:rsidRPr="00B56D34" w:rsidRDefault="00BB3753">
      <w:pPr>
        <w:widowControl w:val="0"/>
        <w:tabs>
          <w:tab w:val="left" w:pos="4996"/>
        </w:tabs>
        <w:autoSpaceDE w:val="0"/>
        <w:autoSpaceDN w:val="0"/>
        <w:adjustRightInd w:val="0"/>
        <w:spacing w:before="1" w:after="0" w:line="110" w:lineRule="exact"/>
        <w:ind w:left="4278"/>
        <w:rPr>
          <w:rFonts w:ascii="Arial" w:hAnsi="Arial" w:cs="Arial"/>
          <w:color w:val="2B2A29"/>
          <w:sz w:val="10"/>
          <w:szCs w:val="10"/>
          <w:lang w:val="en-US"/>
        </w:rPr>
      </w:pPr>
      <w:proofErr w:type="spellStart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Cartag</w:t>
      </w:r>
      <w:proofErr w:type="spellEnd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.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</w:r>
      <w:r w:rsidRPr="00B56D34">
        <w:rPr>
          <w:rFonts w:ascii="Arial" w:hAnsi="Arial" w:cs="Arial"/>
          <w:color w:val="2B2A29"/>
          <w:sz w:val="10"/>
          <w:szCs w:val="10"/>
          <w:u w:val="single"/>
          <w:lang w:val="en-US"/>
        </w:rPr>
        <w:t>Injured</w:t>
      </w:r>
    </w:p>
    <w:p w:rsidR="00A368D8" w:rsidRPr="00B56D34" w:rsidRDefault="00BB3753">
      <w:pPr>
        <w:widowControl w:val="0"/>
        <w:tabs>
          <w:tab w:val="left" w:pos="4908"/>
        </w:tabs>
        <w:autoSpaceDE w:val="0"/>
        <w:autoSpaceDN w:val="0"/>
        <w:adjustRightInd w:val="0"/>
        <w:spacing w:before="1" w:after="0" w:line="111" w:lineRule="exact"/>
        <w:ind w:left="4278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z w:val="10"/>
          <w:szCs w:val="10"/>
          <w:lang w:val="en-US"/>
        </w:rPr>
        <w:t>Aarhus</w:t>
      </w:r>
      <w:r w:rsidRPr="00B56D34">
        <w:rPr>
          <w:rFonts w:ascii="Arial" w:hAnsi="Arial" w:cs="Arial"/>
          <w:color w:val="2B2A29"/>
          <w:sz w:val="10"/>
          <w:szCs w:val="10"/>
          <w:lang w:val="en-US"/>
        </w:rPr>
        <w:tab/>
        <w:t>e.g.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5" w:after="0" w:line="100" w:lineRule="exact"/>
        <w:ind w:left="4908" w:right="3691"/>
        <w:jc w:val="both"/>
        <w:rPr>
          <w:rFonts w:ascii="Arial" w:hAnsi="Arial" w:cs="Arial"/>
          <w:color w:val="2B2A29"/>
          <w:sz w:val="10"/>
          <w:szCs w:val="10"/>
          <w:lang w:val="en-US"/>
        </w:rPr>
      </w:pP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t xml:space="preserve">Basel </w:t>
      </w:r>
      <w:r w:rsidRPr="00B56D34">
        <w:rPr>
          <w:rFonts w:ascii="Arial" w:hAnsi="Arial" w:cs="Arial"/>
          <w:color w:val="2B2A29"/>
          <w:spacing w:val="-1"/>
          <w:sz w:val="10"/>
          <w:szCs w:val="10"/>
          <w:lang w:val="en-US"/>
        </w:rPr>
        <w:br/>
      </w:r>
      <w:proofErr w:type="spellStart"/>
      <w:r w:rsidRPr="00B56D34">
        <w:rPr>
          <w:rFonts w:ascii="Arial" w:hAnsi="Arial" w:cs="Arial"/>
          <w:color w:val="2B2A29"/>
          <w:sz w:val="10"/>
          <w:szCs w:val="10"/>
          <w:lang w:val="en-US"/>
        </w:rPr>
        <w:t>Cartag</w:t>
      </w:r>
      <w:proofErr w:type="spellEnd"/>
      <w:r w:rsidRPr="00B56D34">
        <w:rPr>
          <w:rFonts w:ascii="Arial" w:hAnsi="Arial" w:cs="Arial"/>
          <w:color w:val="2B2A29"/>
          <w:sz w:val="10"/>
          <w:szCs w:val="10"/>
          <w:lang w:val="en-US"/>
        </w:rPr>
        <w:t xml:space="preserve">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02" w:after="0" w:line="195" w:lineRule="exact"/>
        <w:ind w:left="2587"/>
        <w:rPr>
          <w:rFonts w:ascii="Arial" w:hAnsi="Arial" w:cs="Arial"/>
          <w:color w:val="000000"/>
          <w:spacing w:val="-7"/>
          <w:w w:val="88"/>
          <w:sz w:val="17"/>
          <w:szCs w:val="17"/>
          <w:lang w:val="en-US"/>
        </w:rPr>
      </w:pPr>
      <w:r w:rsidRPr="00B56D34">
        <w:rPr>
          <w:rFonts w:ascii="Arial" w:hAnsi="Arial" w:cs="Arial"/>
          <w:color w:val="000000"/>
          <w:spacing w:val="-7"/>
          <w:w w:val="88"/>
          <w:sz w:val="17"/>
          <w:szCs w:val="17"/>
          <w:lang w:val="en-US"/>
        </w:rPr>
        <w:t xml:space="preserve">Figure 9.3: Overview of some NCPs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55" w:lineRule="exact"/>
        <w:ind w:left="2585"/>
        <w:jc w:val="both"/>
        <w:rPr>
          <w:rFonts w:ascii="Arial" w:hAnsi="Arial" w:cs="Arial"/>
          <w:color w:val="000000"/>
          <w:spacing w:val="-7"/>
          <w:w w:val="88"/>
          <w:sz w:val="17"/>
          <w:szCs w:val="17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55" w:lineRule="exact"/>
        <w:ind w:left="2585"/>
        <w:jc w:val="both"/>
        <w:rPr>
          <w:rFonts w:ascii="Arial" w:hAnsi="Arial" w:cs="Arial"/>
          <w:color w:val="000000"/>
          <w:spacing w:val="-7"/>
          <w:w w:val="88"/>
          <w:sz w:val="17"/>
          <w:szCs w:val="17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26" w:after="0" w:line="255" w:lineRule="exact"/>
        <w:ind w:left="2585" w:right="40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from State unwillingness to comply, some NCPs can be transmuted into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something  close  to  a  judicial  proceeding  leading  to  a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 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nding  of  non-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compliance and even the adoption of sanctions. But, overall, the approach to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compliance  underpinning  NCPs  is  clearly  focused  on  prevention  and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assistance.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585" w:right="40" w:firstLine="199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As for the main legal features of NCPs, they can be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organised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under four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headings, namely (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i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) their legal basis, (ii) the parties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authorised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to trigger them,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(iii) the composition of the compliance committees and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(iv) the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measures that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they can adopt.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73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585" w:right="40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Figure 9.3 provides an overview of these features referring to some examples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drawn  from  speci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  NCPs  (Montreal,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 xml:space="preserve">74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Kyoto,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 xml:space="preserve">75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Cartagena,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76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Aarhus,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77 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Ramsar,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78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Basel,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79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CITES,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80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Alpine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81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). In what follows, we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analyse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each one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of these features in turn.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47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73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Viñuales, supra n. 3, pp. 335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8.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74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Non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-compliance Procedure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Decision IV/5, 25 November 1992, UNEP/OzL.Pro4/15, Annex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>IV (Report of the Parties) as subsequently amended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Montreal NCP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75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Procedure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and Mechanisms relating to Compliance under the Kyoto Protocol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, Decision 27/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CMP.I, 30 March 2006, FCCC/KP/CMP/2005/8/Add.3, Annex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Kyoto NCP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76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Establishment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of Procedures and Mechanisms on Compliance under the Cartagena Protocol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on Biosafety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Decision BS-I/7, 27 February 2004, UNEP/CBD/BS/COP-MOP/1/15, Annex I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>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Cartagena NCP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77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Review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of Compliance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, Decision I/7, 2 April 2004, ECE/MP.PP/2/Add.8, Annex, (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Aarhus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NCP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pacing w:val="-2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7"/>
          <w:sz w:val="17"/>
          <w:szCs w:val="17"/>
          <w:vertAlign w:val="superscript"/>
          <w:lang w:val="en-US"/>
        </w:rPr>
        <w:t>78</w:t>
      </w:r>
      <w:r w:rsidRPr="00B56D34">
        <w:rPr>
          <w:rFonts w:ascii="Arial" w:hAnsi="Arial" w:cs="Arial"/>
          <w:color w:val="000000"/>
          <w:w w:val="107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w w:val="107"/>
          <w:sz w:val="16"/>
          <w:szCs w:val="16"/>
          <w:lang w:val="en-US"/>
        </w:rPr>
        <w:t>Mechanisms</w:t>
      </w:r>
      <w:proofErr w:type="gramEnd"/>
      <w:r w:rsidRPr="00B56D34">
        <w:rPr>
          <w:rFonts w:ascii="Times New Roman" w:hAnsi="Times New Roman"/>
          <w:color w:val="000000"/>
          <w:w w:val="107"/>
          <w:sz w:val="16"/>
          <w:szCs w:val="16"/>
          <w:lang w:val="en-US"/>
        </w:rPr>
        <w:t xml:space="preserve"> for Improved Application of the </w:t>
      </w:r>
      <w:proofErr w:type="spellStart"/>
      <w:r w:rsidRPr="00B56D34">
        <w:rPr>
          <w:rFonts w:ascii="Times New Roman" w:hAnsi="Times New Roman"/>
          <w:color w:val="000000"/>
          <w:w w:val="107"/>
          <w:sz w:val="16"/>
          <w:szCs w:val="16"/>
          <w:lang w:val="en-US"/>
        </w:rPr>
        <w:t>Ramsar</w:t>
      </w:r>
      <w:proofErr w:type="spellEnd"/>
      <w:r w:rsidRPr="00B56D34">
        <w:rPr>
          <w:rFonts w:ascii="Times New Roman" w:hAnsi="Times New Roman"/>
          <w:color w:val="000000"/>
          <w:w w:val="107"/>
          <w:sz w:val="16"/>
          <w:szCs w:val="16"/>
          <w:lang w:val="en-US"/>
        </w:rPr>
        <w:t xml:space="preserve"> Convention</w:t>
      </w:r>
      <w:r w:rsidRPr="00B56D34">
        <w:rPr>
          <w:rFonts w:ascii="Arial" w:hAnsi="Arial" w:cs="Arial"/>
          <w:color w:val="000000"/>
          <w:w w:val="107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w w:val="107"/>
          <w:sz w:val="16"/>
          <w:szCs w:val="16"/>
          <w:lang w:val="en-US"/>
        </w:rPr>
        <w:t xml:space="preserve">, Recommendation </w:t>
      </w:r>
      <w:r w:rsidRPr="00B56D34">
        <w:rPr>
          <w:rFonts w:ascii="Times New Roman" w:hAnsi="Times New Roman"/>
          <w:color w:val="000000"/>
          <w:w w:val="107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6"/>
          <w:szCs w:val="16"/>
          <w:lang w:val="en-US"/>
        </w:rPr>
        <w:t xml:space="preserve">REC.C.4.7 (Rev) Annex I.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79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Establishment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of a Mechanism for Promoting Implementation and Compliance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, Decision VI/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12, 10 February 2003, UNEP/CHW.6/40 (2003), Annex, as amended by COP.10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Basel NCP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80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CITES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Compliance Procedures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, Resolution Conf. 14.3, June 2007, Annex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CITES NCP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2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6"/>
          <w:sz w:val="17"/>
          <w:szCs w:val="17"/>
          <w:vertAlign w:val="superscript"/>
          <w:lang w:val="en-US"/>
        </w:rPr>
        <w:t>81</w:t>
      </w:r>
      <w:r w:rsidRPr="00B56D34">
        <w:rPr>
          <w:rFonts w:ascii="Arial" w:hAnsi="Arial" w:cs="Arial"/>
          <w:color w:val="000000"/>
          <w:w w:val="106"/>
          <w:sz w:val="16"/>
          <w:szCs w:val="16"/>
          <w:lang w:val="en-US"/>
        </w:rPr>
        <w:t xml:space="preserve">  ‘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>Mechanism</w:t>
      </w:r>
      <w:proofErr w:type="gramEnd"/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 xml:space="preserve"> for the Veri</w:t>
      </w:r>
      <w:r w:rsidRPr="00B56D34">
        <w:rPr>
          <w:rFonts w:ascii="Arial" w:hAnsi="Arial" w:cs="Arial"/>
          <w:color w:val="000000"/>
          <w:w w:val="106"/>
          <w:sz w:val="16"/>
          <w:szCs w:val="16"/>
          <w:lang w:val="en-US"/>
        </w:rPr>
        <w:t>fi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 xml:space="preserve">cation of the Compliance with the Alpine Convention and its </w:t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Implementation  Protocols (Compliance  Procedure)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,  Decision  XII/I, 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 xml:space="preserve">7 September  2012, 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ACXII/A1/1, Annex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Alpine NCP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type w:val="continuous"/>
          <w:pgSz w:w="10980" w:h="15120"/>
          <w:pgMar w:top="20" w:right="1423" w:bottom="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47" type="#_x0000_t75" style="position:absolute;left:0;text-align:left;margin-left:161pt;margin-top:1in;width:319pt;height:8pt;z-index:-45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48" type="#_x0000_t75" style="position:absolute;left:0;text-align:left;margin-left:0;margin-top:723pt;width:32pt;height:32pt;z-index:-4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49" type="#_x0000_t75" style="position:absolute;left:0;text-align:left;margin-left:517pt;margin-top:723pt;width:32pt;height:32pt;z-index:-43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50" type="#_x0000_t75" style="position:absolute;left:0;text-align:left;margin-left:517pt;margin-top:0;width:32pt;height:31pt;z-index:-4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51" type="#_x0000_t75" style="position:absolute;left:0;text-align:left;margin-left:0;margin-top:0;width:32pt;height:31pt;z-index:-41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52" type="#_x0000_t75" style="position:absolute;left:0;text-align:left;margin-left:123pt;margin-top:123pt;width:303pt;height:508pt;z-index:-4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8" w:name="Pg365"/>
      <w:bookmarkEnd w:id="18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287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287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  <w:t>Managing non-compliance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1090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3256"/>
        </w:tabs>
        <w:autoSpaceDE w:val="0"/>
        <w:autoSpaceDN w:val="0"/>
        <w:adjustRightInd w:val="0"/>
        <w:spacing w:before="139" w:after="0" w:line="241" w:lineRule="exact"/>
        <w:ind w:left="1090" w:firstLine="1673"/>
        <w:rPr>
          <w:rFonts w:ascii="Arial" w:hAnsi="Arial" w:cs="Arial"/>
          <w:color w:val="000000"/>
          <w:spacing w:val="-7"/>
          <w:w w:val="88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>9.3.2</w:t>
      </w: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21"/>
          <w:szCs w:val="21"/>
          <w:lang w:val="en-US"/>
        </w:rPr>
        <w:t>The legal basis of NCPs and its implications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22" w:after="0" w:line="258" w:lineRule="exact"/>
        <w:ind w:left="2763" w:right="41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As a general matter, NCPs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are based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on a speci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 treaty provision. This is true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of many treaties concluded after the adoption of the Montreal Protocol. In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addition to Article 8 of this Protocol, examples include Article 18 of the Kyoto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Protocol, Article 34 of the Biosafety Protocol</w:t>
      </w:r>
      <w:r w:rsidRPr="00B56D34">
        <w:rPr>
          <w:rFonts w:ascii="Times New Roman" w:hAnsi="Times New Roman"/>
          <w:color w:val="000000"/>
          <w:w w:val="102"/>
          <w:sz w:val="21"/>
          <w:szCs w:val="21"/>
          <w:vertAlign w:val="superscript"/>
          <w:lang w:val="en-US"/>
        </w:rPr>
        <w:t>82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or Article 15 of the Aarhus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Convention,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83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to name but a few. These provisions are then speci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ed by a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stream of decisions adopted by treaty bodies (most often the COPs or, for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Protocols, the Meetings of the Parties or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CMPs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). Some other treaties have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established  NCPs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 without  an  explicit  legal  basis. 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Examples  include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procedures established under the </w:t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Ramsar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Convention, the CITES</w:t>
      </w:r>
      <w:r w:rsidRPr="00B56D34">
        <w:rPr>
          <w:rFonts w:ascii="Times New Roman" w:hAnsi="Times New Roman"/>
          <w:color w:val="000000"/>
          <w:w w:val="102"/>
          <w:sz w:val="21"/>
          <w:szCs w:val="21"/>
          <w:vertAlign w:val="superscript"/>
          <w:lang w:val="en-US"/>
        </w:rPr>
        <w:t>84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and the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Basel Convention. This difference is mostly explained by the time at which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each  treaty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 was  adopted.  Treaties  adopted  after  the  Montreal  Protocol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generally (albeit not always, e.g. the Basel Convention) include a speci</w:t>
      </w:r>
      <w:r w:rsidRPr="00B56D34">
        <w:rPr>
          <w:rFonts w:ascii="Arial" w:hAnsi="Arial" w:cs="Arial"/>
          <w:color w:val="000000"/>
          <w:w w:val="104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c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provision  regarding  the  establishment  of  an  NCP,  whereas  previous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instruments have been updated through COP decisions.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763" w:right="40" w:firstLine="199"/>
        <w:jc w:val="both"/>
        <w:rPr>
          <w:rFonts w:ascii="Times New Roman" w:hAnsi="Times New Roman"/>
          <w:color w:val="000000"/>
          <w:spacing w:val="-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This difference is not without legal signi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cance since the existence of a legal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basis in the treaty may be important in determining the nature of the proceed-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ings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and, in particular, whether the decision resulting from the NCP is binding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or not. 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It is a complex question that has not yet been settled, despite its practical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  <w:t>signi</w:t>
      </w:r>
      <w:r w:rsidRPr="00B56D3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cance</w:t>
      </w:r>
      <w:proofErr w:type="gram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. To address this question it is necessary to distinguish three levels.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763" w:right="41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First, the binding character must be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analysed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in light of the 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 context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of the treaty. It is at this level that the existence of a provision in the treaty is of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particular importance. For example, Article 18 of the Kyoto Protocol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recog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nises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that decisions regarding compliance may be binding, but only if the NCP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was established by amendment</w:t>
      </w:r>
      <w:proofErr w:type="gram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(i.e. it has been rati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ed by the States con-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cerned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). A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contrario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in the absence of such an amendment, the decisions are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technically not binding. Conversely, the underlying treaty may also expressly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provide for the optional and consultative nature of the NCP and thereby of the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decisions adopted by the NCP. Such is the case of Article 15 of the Aarhus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Convention. In other cases still, such as Article 8 of the Montreal Protocol or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Article 34 of the Biosafety Protocol, the treaty is silent as to the binding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character of decisions on compliance, which leads to the second level.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6" w:after="0" w:line="253" w:lineRule="exact"/>
        <w:ind w:left="2763" w:right="41" w:firstLine="199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In such cases, the legal nature of these decisions must be </w:t>
      </w:r>
      <w:proofErr w:type="spell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analysed</w:t>
      </w:r>
      <w:proofErr w:type="spell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in the light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of the general powers of the treaty bodies and, in particular, the COP (or the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CMP). Some treaties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authorise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 CMP to adopt binding decisions. This is the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case of Article 2(9) of the Montreal Protocol or Article 7(4) of the Biosafety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151" w:after="0" w:line="200" w:lineRule="exact"/>
        <w:ind w:left="2763" w:right="74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82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Cartagena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Protocol on Biosafety to the Convention on Biological Diversity, 29 January 2000,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2226 UNTS 208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Biosafety Protocol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17" w:after="0" w:line="180" w:lineRule="exact"/>
        <w:ind w:left="2763" w:right="74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83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Convention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on Access to Information, Public Participation in Decision-making and Access to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  <w:t>Justice in Environmental Matters, 25 June 1998, 2161 UNTS 447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Aarhus Convention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4" w:after="0" w:line="200" w:lineRule="exact"/>
        <w:ind w:left="2763" w:right="74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17"/>
          <w:szCs w:val="17"/>
          <w:vertAlign w:val="superscript"/>
          <w:lang w:val="en-US"/>
        </w:rPr>
        <w:t>84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 xml:space="preserve">  Washington Convention on International Trade in Endangered Species of Wild Fauna and </w:t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Flora, 3 March 1973, United Nations, 993 UNTS 243 (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CITES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24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53" type="#_x0000_t75" style="position:absolute;left:0;text-align:left;margin-left:152pt;margin-top:1in;width:319pt;height:8pt;z-index:-39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254" type="#_x0000_t75" style="position:absolute;left:0;text-align:left;margin-left:0;margin-top:723pt;width:32pt;height:32pt;z-index:-3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55" type="#_x0000_t75" style="position:absolute;left:0;text-align:left;margin-left:517pt;margin-top:723pt;width:32pt;height:32pt;z-index:-37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56" type="#_x0000_t75" style="position:absolute;left:0;text-align:left;margin-left:517pt;margin-top:0;width:32pt;height:31pt;z-index:-3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57" type="#_x0000_t75" style="position:absolute;left:0;text-align:left;margin-left:0;margin-top:0;width:32pt;height:31pt;z-index:-35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58" type="#_x0000_t75" style="position:absolute;left:0;text-align:left;margin-left:123pt;margin-top:123pt;width:303pt;height:508pt;z-index:-34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19" w:name="Pg366"/>
      <w:bookmarkEnd w:id="19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288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288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585" w:right="40"/>
        <w:jc w:val="both"/>
        <w:rPr>
          <w:rFonts w:ascii="Times New Roman" w:hAnsi="Times New Roman"/>
          <w:color w:val="000000"/>
          <w:spacing w:val="-3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Protocol.</w:t>
      </w:r>
      <w:r w:rsidRPr="00B56D34">
        <w:rPr>
          <w:rFonts w:ascii="Times New Roman" w:hAnsi="Times New Roman"/>
          <w:color w:val="000000"/>
          <w:spacing w:val="-2"/>
          <w:sz w:val="21"/>
          <w:szCs w:val="21"/>
          <w:vertAlign w:val="superscript"/>
          <w:lang w:val="en-US"/>
        </w:rPr>
        <w:t>85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The</w:t>
      </w:r>
      <w:proofErr w:type="gram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existence of such provisions suggests that the CMP, in fact, has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the power to issue binding decisions in some cases (and therefore that it may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delegate this power). </w:t>
      </w: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But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these provisions are normally formulated so as to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>restrict this power to speci</w:t>
      </w:r>
      <w:r w:rsidRPr="00B56D34">
        <w:rPr>
          <w:rFonts w:ascii="Arial" w:hAnsi="Arial" w:cs="Arial"/>
          <w:color w:val="000000"/>
          <w:w w:val="108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t xml:space="preserve">c types of decisions that do not necessarily </w:t>
      </w:r>
      <w:r w:rsidRPr="00B56D34">
        <w:rPr>
          <w:rFonts w:ascii="Times New Roman" w:hAnsi="Times New Roman"/>
          <w:color w:val="000000"/>
          <w:w w:val="108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encompass decisions on non-compliance. In any event, where the treaty does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not give the possibility for the COP or CMP to adopt binding decisions, it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seems clear a fortiori that the NCP will not be entitled to do so. This conclusion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does not imply, however, that such decisions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do not, in practice, have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norma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tive</w:t>
      </w:r>
      <w:proofErr w:type="spellEnd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effects.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585" w:right="40" w:firstLine="199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At the third level, it is important to determine whether the decisions arising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from the NCP are respected or not, or at least whether they carry some </w:t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authority.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 xml:space="preserve">86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The question arose with respect to certain countries, notably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Greece, under the Kyoto Protocol.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87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The Compliance Committee considered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that Greece had not complied with its obligations under Article 5(1) and 7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the Kyoto Protocol and found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Greece (to be) in non-compliance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.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On this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basis, it directed Greece to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develop a plan referred to in paragraph 1 of section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XV and submit it within three months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and, signi</w:t>
      </w:r>
      <w:r w:rsidRPr="00B56D34">
        <w:rPr>
          <w:rFonts w:ascii="Arial" w:hAnsi="Arial" w:cs="Arial"/>
          <w:color w:val="000000"/>
          <w:spacing w:val="2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cantly, decided that in the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meantime Greece was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not eligible to participate in the mechanisms under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Articles 6, 12 and 17 of the Protocol pending the resolution of the question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implementation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.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88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This suspension of Greece was later lifted without any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explicit determination as to the binding nature of the Committee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s decision.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89 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This case is often cited to </w:t>
      </w:r>
      <w:proofErr w:type="spell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>emphasise</w:t>
      </w:r>
      <w:proofErr w:type="spell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the authority of NCP decisions in practice.</w:t>
      </w:r>
      <w:proofErr w:type="gramEnd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Among the numerous examples that could be mentioned to illustrate this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point</w:t>
      </w:r>
      <w:proofErr w:type="gramStart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pacing w:val="3"/>
          <w:sz w:val="21"/>
          <w:szCs w:val="21"/>
          <w:vertAlign w:val="superscript"/>
          <w:lang w:val="en-US"/>
        </w:rPr>
        <w:t>90</w:t>
      </w:r>
      <w:proofErr w:type="gramEnd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 the decisions adopted by the Compliance Committee of the Aarhus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Convention are particularly apposite. Although Article 15 of the Convention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makes clear that decisions on compliance are not binding, the normative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power they display in practice </w:t>
      </w:r>
      <w:proofErr w:type="gramStart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can hardly be questioned</w:t>
      </w:r>
      <w:proofErr w:type="gramEnd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. The </w:t>
      </w:r>
      <w:proofErr w:type="spellStart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recommenda</w:t>
      </w:r>
      <w:proofErr w:type="spellEnd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tions</w:t>
      </w:r>
      <w:proofErr w:type="spell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made by the COP to States parties </w:t>
      </w:r>
      <w:proofErr w:type="gramStart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on the basis of</w:t>
      </w:r>
      <w:proofErr w:type="gramEnd"/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the Committee</w:t>
      </w:r>
      <w:r w:rsidRPr="00B56D34">
        <w:rPr>
          <w:rFonts w:ascii="Arial" w:hAnsi="Arial" w:cs="Arial"/>
          <w:color w:val="000000"/>
          <w:w w:val="106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s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decisions have indeed been largely followed in practice.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91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</w:p>
    <w:p w:rsidR="00A368D8" w:rsidRPr="00B56D34" w:rsidRDefault="00BB3753">
      <w:pPr>
        <w:widowControl w:val="0"/>
        <w:tabs>
          <w:tab w:val="left" w:pos="3709"/>
        </w:tabs>
        <w:autoSpaceDE w:val="0"/>
        <w:autoSpaceDN w:val="0"/>
        <w:adjustRightInd w:val="0"/>
        <w:spacing w:before="168" w:after="0" w:line="184" w:lineRule="exact"/>
        <w:ind w:left="2585"/>
        <w:rPr>
          <w:rFonts w:ascii="Times New Roman" w:hAnsi="Times New Roman"/>
          <w:color w:val="000000"/>
          <w:w w:val="105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1"/>
          <w:sz w:val="17"/>
          <w:szCs w:val="17"/>
          <w:vertAlign w:val="superscript"/>
          <w:lang w:val="en-US"/>
        </w:rPr>
        <w:t>85</w:t>
      </w:r>
      <w:r w:rsidRPr="00B56D34">
        <w:rPr>
          <w:rFonts w:ascii="Times New Roman" w:hAnsi="Times New Roman"/>
          <w:color w:val="000000"/>
          <w:w w:val="101"/>
          <w:sz w:val="16"/>
          <w:szCs w:val="16"/>
          <w:lang w:val="en-US"/>
        </w:rPr>
        <w:t xml:space="preserve">  J</w:t>
      </w:r>
      <w:proofErr w:type="gramEnd"/>
      <w:r w:rsidRPr="00B56D34">
        <w:rPr>
          <w:rFonts w:ascii="Times New Roman" w:hAnsi="Times New Roman"/>
          <w:color w:val="000000"/>
          <w:w w:val="101"/>
          <w:sz w:val="16"/>
          <w:szCs w:val="16"/>
          <w:lang w:val="en-US"/>
        </w:rPr>
        <w:t xml:space="preserve">.  </w:t>
      </w:r>
      <w:proofErr w:type="spellStart"/>
      <w:r w:rsidRPr="00B56D34">
        <w:rPr>
          <w:rFonts w:ascii="Times New Roman" w:hAnsi="Times New Roman"/>
          <w:color w:val="000000"/>
          <w:w w:val="101"/>
          <w:sz w:val="16"/>
          <w:szCs w:val="16"/>
          <w:lang w:val="en-US"/>
        </w:rPr>
        <w:t>Brunnée</w:t>
      </w:r>
      <w:proofErr w:type="spellEnd"/>
      <w:r w:rsidRPr="00B56D34">
        <w:rPr>
          <w:rFonts w:ascii="Times New Roman" w:hAnsi="Times New Roman"/>
          <w:color w:val="000000"/>
          <w:w w:val="101"/>
          <w:sz w:val="16"/>
          <w:szCs w:val="16"/>
          <w:lang w:val="en-US"/>
        </w:rPr>
        <w:t xml:space="preserve">, </w:t>
      </w:r>
      <w:r w:rsidRPr="00B56D34">
        <w:rPr>
          <w:rFonts w:ascii="Times New Roman" w:hAnsi="Times New Roman"/>
          <w:color w:val="000000"/>
          <w:w w:val="101"/>
          <w:sz w:val="16"/>
          <w:szCs w:val="16"/>
          <w:lang w:val="en-US"/>
        </w:rPr>
        <w:tab/>
      </w:r>
      <w:proofErr w:type="gramStart"/>
      <w:r w:rsidRPr="00B56D34">
        <w:rPr>
          <w:rFonts w:ascii="Arial" w:hAnsi="Arial" w:cs="Arial"/>
          <w:color w:val="000000"/>
          <w:w w:val="105"/>
          <w:sz w:val="16"/>
          <w:szCs w:val="16"/>
          <w:lang w:val="en-US"/>
        </w:rPr>
        <w:t>‘</w:t>
      </w:r>
      <w:proofErr w:type="spellStart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>COPing</w:t>
      </w:r>
      <w:proofErr w:type="spellEnd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 with</w:t>
      </w:r>
      <w:proofErr w:type="gramEnd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 Consent:  Law-making  under  Multilateral  Environmental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780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Agreements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(2002) 15 Leiden Journal of International Law 1, 21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3.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6" w:after="0" w:line="184" w:lineRule="exact"/>
        <w:ind w:left="2585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86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., 23ff.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200" w:lineRule="exact"/>
        <w:ind w:left="2585" w:right="7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3"/>
          <w:sz w:val="17"/>
          <w:szCs w:val="17"/>
          <w:vertAlign w:val="superscript"/>
          <w:lang w:val="en-US"/>
        </w:rPr>
        <w:t>87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Compliance</w:t>
      </w:r>
      <w:proofErr w:type="gram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Committee, Final Decision: Greece, 17 April 2008, CC-2007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1-8/Greece/EB 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(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Decision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Greece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). See also Compliance Committee, Final Decision: Croatia, 19 February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2010, CC-2009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1-8/Croatia/EB.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88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., Annex, para. 18.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3" w:after="0" w:line="200" w:lineRule="exact"/>
        <w:ind w:left="2585" w:right="73"/>
        <w:rPr>
          <w:rFonts w:ascii="Times New Roman" w:hAnsi="Times New Roman"/>
          <w:color w:val="000000"/>
          <w:spacing w:val="-7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89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 Compliance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Committee, Final Decision: Greece, 13 November 2008, CC-2007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1-13/Greece/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7"/>
          <w:sz w:val="16"/>
          <w:szCs w:val="16"/>
          <w:lang w:val="en-US"/>
        </w:rPr>
        <w:t xml:space="preserve">EB.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00" w:lineRule="exact"/>
        <w:ind w:left="2585" w:right="7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2"/>
          <w:sz w:val="17"/>
          <w:szCs w:val="17"/>
          <w:vertAlign w:val="superscript"/>
          <w:lang w:val="en-US"/>
        </w:rPr>
        <w:t>90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 xml:space="preserve"> M. Fitzmaurice,</w:t>
      </w:r>
      <w:r w:rsidRPr="00B56D34">
        <w:rPr>
          <w:rFonts w:ascii="Arial" w:hAnsi="Arial" w:cs="Arial"/>
          <w:color w:val="000000"/>
          <w:spacing w:val="2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>Non-Compliance Procedures and the Law of Treaties</w:t>
      </w:r>
      <w:r w:rsidRPr="00B56D34">
        <w:rPr>
          <w:rFonts w:ascii="Arial" w:hAnsi="Arial" w:cs="Arial"/>
          <w:color w:val="000000"/>
          <w:spacing w:val="2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 xml:space="preserve">, in Treves et al, </w:t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supra n. 71, pp. 453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81. </w:t>
      </w:r>
    </w:p>
    <w:p w:rsidR="00A368D8" w:rsidRPr="00B56D34" w:rsidRDefault="00BB3753">
      <w:pPr>
        <w:widowControl w:val="0"/>
        <w:tabs>
          <w:tab w:val="left" w:pos="2780"/>
        </w:tabs>
        <w:autoSpaceDE w:val="0"/>
        <w:autoSpaceDN w:val="0"/>
        <w:adjustRightInd w:val="0"/>
        <w:spacing w:before="6" w:after="0" w:line="193" w:lineRule="exact"/>
        <w:ind w:left="2585" w:right="73"/>
        <w:rPr>
          <w:rFonts w:ascii="Times New Roman" w:hAnsi="Times New Roman"/>
          <w:color w:val="000000"/>
          <w:spacing w:val="1"/>
          <w:sz w:val="16"/>
          <w:szCs w:val="16"/>
          <w:lang w:val="en-US"/>
        </w:rPr>
      </w:pPr>
      <w:r w:rsidRPr="00B56D34">
        <w:rPr>
          <w:rFonts w:ascii="Times New Roman" w:hAnsi="Times New Roman"/>
          <w:color w:val="000000"/>
          <w:w w:val="105"/>
          <w:sz w:val="17"/>
          <w:szCs w:val="17"/>
          <w:vertAlign w:val="superscript"/>
          <w:lang w:val="en-US"/>
        </w:rPr>
        <w:t>91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 See A. </w:t>
      </w:r>
      <w:proofErr w:type="spellStart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>Andrusevich</w:t>
      </w:r>
      <w:proofErr w:type="spellEnd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, T. </w:t>
      </w:r>
      <w:proofErr w:type="spellStart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>Alge</w:t>
      </w:r>
      <w:proofErr w:type="spellEnd"/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 xml:space="preserve"> and C. Konrad (eds.), Case Law of the Aarhus Convention </w:t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Compliance Committee (2004</w:t>
      </w:r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2011) (</w:t>
      </w:r>
      <w:proofErr w:type="spellStart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Lviv</w:t>
      </w:r>
      <w:proofErr w:type="spell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: RACSE, 2nd </w:t>
      </w:r>
      <w:proofErr w:type="spellStart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edn</w:t>
      </w:r>
      <w:proofErr w:type="spell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, 2011), in particular Part III 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ab/>
      </w:r>
      <w:proofErr w:type="spellStart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synthesising</w:t>
      </w:r>
      <w:proofErr w:type="spell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the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>outcomes</w:t>
      </w:r>
      <w:r w:rsidRPr="00B56D34">
        <w:rPr>
          <w:rFonts w:ascii="Arial" w:hAnsi="Arial" w:cs="Arial"/>
          <w:color w:val="000000"/>
          <w:spacing w:val="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of the actions taken by States to respond to the recommendations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  <w:t xml:space="preserve">of the COP (made on the basis of those of the Committee).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sectPr w:rsidR="00A368D8" w:rsidRPr="00B56D34">
          <w:pgSz w:w="10980" w:h="15120"/>
          <w:pgMar w:top="-20" w:right="1423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59" type="#_x0000_t75" style="position:absolute;left:0;text-align:left;margin-left:161pt;margin-top:1in;width:319pt;height:8pt;z-index:-33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60" type="#_x0000_t75" style="position:absolute;left:0;text-align:left;margin-left:0;margin-top:723pt;width:32pt;height:32pt;z-index:-3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61" type="#_x0000_t75" style="position:absolute;left:0;text-align:left;margin-left:517pt;margin-top:723pt;width:32pt;height:32pt;z-index:-31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62" type="#_x0000_t75" style="position:absolute;left:0;text-align:left;margin-left:517pt;margin-top:0;width:32pt;height:31pt;z-index:-30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63" type="#_x0000_t75" style="position:absolute;left:0;text-align:left;margin-left:0;margin-top:0;width:32pt;height:31pt;z-index:-29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64" type="#_x0000_t75" style="position:absolute;left:0;text-align:left;margin-left:123pt;margin-top:123pt;width:303pt;height:508pt;z-index:-28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0" w:name="Pg367"/>
      <w:bookmarkEnd w:id="20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289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289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  <w:t>Managing non-compliance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1090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3256"/>
        </w:tabs>
        <w:autoSpaceDE w:val="0"/>
        <w:autoSpaceDN w:val="0"/>
        <w:adjustRightInd w:val="0"/>
        <w:spacing w:before="139" w:after="0" w:line="241" w:lineRule="exact"/>
        <w:ind w:left="1090" w:firstLine="1673"/>
        <w:rPr>
          <w:rFonts w:ascii="Arial" w:hAnsi="Arial" w:cs="Arial"/>
          <w:color w:val="000000"/>
          <w:spacing w:val="-7"/>
          <w:w w:val="83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>9.3.3</w:t>
      </w: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3"/>
          <w:sz w:val="21"/>
          <w:szCs w:val="21"/>
          <w:lang w:val="en-US"/>
        </w:rPr>
        <w:t>Triggering NCPs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21" w:after="0" w:line="260" w:lineRule="exact"/>
        <w:ind w:left="2763" w:right="40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A feature of NCPs that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emphasises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their fundamentally non-confrontational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nature concerns the ways they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may be triggered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. Unlike judicial proceedings,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NCPs can be triggered by the State that is in non-compliance.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92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As</w:t>
      </w:r>
      <w:proofErr w:type="gram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discussed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later, self-triggering is linked to the possibility of applying for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nancial and/or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technical assistance. </w:t>
      </w: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In addition to the State in non-compliance, NCPs may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also be triggered, depending on the cases, by (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) other States parties, (ii) some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treaty bodies or (iii) the public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58" w:lineRule="exact"/>
        <w:ind w:left="2763" w:right="40" w:firstLine="199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Some NCPs can be triggered by other States parties without the need for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them to prove that they have been particularly affected.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>93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Here we approach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the concept of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actio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popularis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inter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omnes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partes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(as opposed to the </w:t>
      </w:r>
      <w:proofErr w:type="spellStart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actio</w:t>
      </w:r>
      <w:proofErr w:type="spellEnd"/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popularis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, which does not exist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yet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in general international law</w:t>
      </w:r>
      <w:r w:rsidRPr="00B56D34">
        <w:rPr>
          <w:rFonts w:ascii="Times New Roman" w:hAnsi="Times New Roman"/>
          <w:color w:val="000000"/>
          <w:w w:val="103"/>
          <w:sz w:val="21"/>
          <w:szCs w:val="21"/>
          <w:vertAlign w:val="superscript"/>
          <w:lang w:val="en-US"/>
        </w:rPr>
        <w:t>94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). This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possibility is based on the nature of the object protected by the treaty (e.g. the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ozone layer, climate system, endangered species, </w:t>
      </w:r>
      <w:proofErr w:type="gramStart"/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t xml:space="preserve">a certain level of transparency </w:t>
      </w:r>
      <w:r w:rsidRPr="00B56D34">
        <w:rPr>
          <w:rFonts w:ascii="Times New Roman" w:hAnsi="Times New Roman"/>
          <w:color w:val="000000"/>
          <w:spacing w:val="-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environmental matters). Non-compliance by a State party is likely to affect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the common good protected by the treaty and, thereby, the interests of all other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States parties. When the treaty does not aim to protect a common resource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(e.g. environmental protection in a transboundary context), NCPs normally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give the right to initiate the procedure only to States speci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cally affected.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95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763" w:right="40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As for the possibility given to some treaty bodies, e.g. the Secretariat, to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initiate the procedure, it may either apply to non-compliance with speci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c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obligations (e.g. procedural obligations</w:t>
      </w:r>
      <w:r w:rsidRPr="00B56D34">
        <w:rPr>
          <w:rFonts w:ascii="Times New Roman" w:hAnsi="Times New Roman"/>
          <w:color w:val="000000"/>
          <w:w w:val="106"/>
          <w:sz w:val="21"/>
          <w:szCs w:val="21"/>
          <w:vertAlign w:val="superscript"/>
          <w:lang w:val="en-US"/>
        </w:rPr>
        <w:t>96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) or more generally to all treaty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obligations without distinction.</w:t>
      </w:r>
      <w:r w:rsidRPr="00B56D34">
        <w:rPr>
          <w:rFonts w:ascii="Times New Roman" w:hAnsi="Times New Roman"/>
          <w:color w:val="000000"/>
          <w:spacing w:val="2"/>
          <w:sz w:val="21"/>
          <w:szCs w:val="21"/>
          <w:vertAlign w:val="superscript"/>
          <w:lang w:val="en-US"/>
        </w:rPr>
        <w:t>97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This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form of triggering has several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advan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tages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. First, the treaty bodies </w:t>
      </w:r>
      <w:proofErr w:type="spell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centralise</w:t>
      </w:r>
      <w:proofErr w:type="spell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information on the implementation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of the treaty and are therefore in an ideal position to detect cases of non-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  <w:t xml:space="preserve">compliance. In addition, triggering by treaty bodies avoids confrontation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between States parties while producing similar results in the management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 xml:space="preserve">non-compliance. Finally, treaty bodies may informally relay the concerns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groups of civil society that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are not usually allowed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to initiate NCPs.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763" w:right="41" w:firstLine="199"/>
        <w:jc w:val="both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The latter point leads us to the third form of triggering, namely referral by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the public. This possibility has only been provided for in environmental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treaties of regional scope, such as the Alpine </w:t>
      </w:r>
      <w:proofErr w:type="gram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Convention</w:t>
      </w:r>
      <w:r w:rsidRPr="00B56D34">
        <w:rPr>
          <w:rFonts w:ascii="Times New Roman" w:hAnsi="Times New Roman"/>
          <w:color w:val="000000"/>
          <w:w w:val="104"/>
          <w:sz w:val="21"/>
          <w:szCs w:val="21"/>
          <w:vertAlign w:val="superscript"/>
          <w:lang w:val="en-US"/>
        </w:rPr>
        <w:t>98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 or</w:t>
      </w:r>
      <w:proofErr w:type="gram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 the Aarhus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Convention.</w:t>
      </w:r>
      <w:r w:rsidRPr="00B56D34">
        <w:rPr>
          <w:rFonts w:ascii="Times New Roman" w:hAnsi="Times New Roman"/>
          <w:color w:val="000000"/>
          <w:w w:val="106"/>
          <w:sz w:val="21"/>
          <w:szCs w:val="21"/>
          <w:vertAlign w:val="superscript"/>
          <w:lang w:val="en-US"/>
        </w:rPr>
        <w:t>99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 It is thanks to this type of triggering that the Compliance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Committee of the Aarhus Convention has been able to develop an important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0" w:lineRule="exact"/>
        <w:ind w:left="2763"/>
        <w:rPr>
          <w:rFonts w:ascii="Times New Roman" w:hAnsi="Times New Roman"/>
          <w:color w:val="000000"/>
          <w:spacing w:val="2"/>
          <w:sz w:val="20"/>
          <w:szCs w:val="20"/>
          <w:lang w:val="en-US"/>
        </w:rPr>
      </w:pPr>
    </w:p>
    <w:p w:rsidR="00A368D8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before="50" w:after="0" w:line="200" w:lineRule="exact"/>
        <w:ind w:left="2763" w:right="72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pacing w:val="-1"/>
          <w:sz w:val="17"/>
          <w:szCs w:val="17"/>
          <w:vertAlign w:val="superscript"/>
        </w:rPr>
        <w:t>92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, e.g., Montreal NCP, supra n. 74, para. 44; Basel NCP, supra n. 79, para. 9(a); </w:t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Ramsar</w:t>
      </w:r>
      <w:proofErr w:type="spell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NCP, 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br/>
      </w:r>
      <w:r>
        <w:rPr>
          <w:rFonts w:ascii="Times New Roman" w:hAnsi="Times New Roman"/>
          <w:color w:val="000000"/>
          <w:spacing w:val="-1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supra n. 78, para. 1; CITES NCP, supra n. 80, para. 19; Kyoto NCP, supra n. 75, para. VI.1(a); 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Cartagena NCP, supra n. 76, para. IV.1(a);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Aarhus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NCP, supra n. 77, para. 16. </w:t>
      </w:r>
    </w:p>
    <w:p w:rsidR="00A368D8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00" w:lineRule="exact"/>
        <w:ind w:left="2763" w:right="73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pacing w:val="1"/>
          <w:sz w:val="17"/>
          <w:szCs w:val="17"/>
          <w:vertAlign w:val="superscript"/>
        </w:rPr>
        <w:t>93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, e.g., Montreal NCP, supra n. 74, para. 1; NCP Kyoto, supra n. 75, para. VI.1(b); CITES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br/>
      </w:r>
      <w:r>
        <w:rPr>
          <w:rFonts w:ascii="Times New Roman" w:hAnsi="Times New Roman"/>
          <w:color w:val="000000"/>
          <w:spacing w:val="1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NCP, supra n. 80, para. 18;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Aarhus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NCP, supra n. 77, para. 15. </w:t>
      </w:r>
    </w:p>
    <w:p w:rsidR="00A368D8" w:rsidRDefault="00BB3753">
      <w:pPr>
        <w:widowControl w:val="0"/>
        <w:tabs>
          <w:tab w:val="left" w:pos="2958"/>
        </w:tabs>
        <w:autoSpaceDE w:val="0"/>
        <w:autoSpaceDN w:val="0"/>
        <w:adjustRightInd w:val="0"/>
        <w:spacing w:after="0" w:line="200" w:lineRule="exact"/>
        <w:ind w:left="2763" w:right="73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w w:val="102"/>
          <w:sz w:val="17"/>
          <w:szCs w:val="17"/>
          <w:vertAlign w:val="superscript"/>
        </w:rPr>
        <w:t>94</w:t>
      </w:r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F.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Voeffray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L</w:t>
      </w:r>
      <w:r>
        <w:rPr>
          <w:rFonts w:ascii="Arial" w:hAnsi="Arial" w:cs="Arial"/>
          <w:color w:val="000000"/>
          <w:w w:val="102"/>
          <w:sz w:val="16"/>
          <w:szCs w:val="16"/>
        </w:rPr>
        <w:t>’</w:t>
      </w:r>
      <w:r>
        <w:rPr>
          <w:rFonts w:ascii="Times New Roman" w:hAnsi="Times New Roman"/>
          <w:color w:val="000000"/>
          <w:w w:val="102"/>
          <w:sz w:val="16"/>
          <w:szCs w:val="16"/>
        </w:rPr>
        <w:t>actio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popularis ou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la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défense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l</w:t>
      </w:r>
      <w:r>
        <w:rPr>
          <w:rFonts w:ascii="Arial" w:hAnsi="Arial" w:cs="Arial"/>
          <w:color w:val="000000"/>
          <w:w w:val="102"/>
          <w:sz w:val="16"/>
          <w:szCs w:val="16"/>
        </w:rPr>
        <w:t>’</w:t>
      </w:r>
      <w:r>
        <w:rPr>
          <w:rFonts w:ascii="Times New Roman" w:hAnsi="Times New Roman"/>
          <w:color w:val="000000"/>
          <w:w w:val="102"/>
          <w:sz w:val="16"/>
          <w:szCs w:val="16"/>
        </w:rPr>
        <w:t>intérêt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collectif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devant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les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w w:val="102"/>
          <w:sz w:val="16"/>
          <w:szCs w:val="16"/>
        </w:rPr>
        <w:t>juridictions</w:t>
      </w:r>
      <w:proofErr w:type="spellEnd"/>
      <w:r>
        <w:rPr>
          <w:rFonts w:ascii="Times New Roman" w:hAnsi="Times New Roman"/>
          <w:color w:val="000000"/>
          <w:w w:val="10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2"/>
          <w:sz w:val="16"/>
          <w:szCs w:val="16"/>
        </w:rPr>
        <w:br/>
      </w:r>
      <w:r>
        <w:rPr>
          <w:rFonts w:ascii="Times New Roman" w:hAnsi="Times New Roman"/>
          <w:color w:val="000000"/>
          <w:w w:val="102"/>
          <w:sz w:val="16"/>
          <w:szCs w:val="16"/>
        </w:rPr>
        <w:tab/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internationales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(Paris: Presse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Universitaires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de France, 2004). </w:t>
      </w:r>
    </w:p>
    <w:p w:rsidR="00A368D8" w:rsidRDefault="00BB3753">
      <w:pPr>
        <w:widowControl w:val="0"/>
        <w:autoSpaceDE w:val="0"/>
        <w:autoSpaceDN w:val="0"/>
        <w:adjustRightInd w:val="0"/>
        <w:spacing w:before="1" w:after="0" w:line="175" w:lineRule="exact"/>
        <w:ind w:left="2763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95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e.g., Basel NCP, supra n. 79, para. 9(b); Cartagena NCP, supra n. 76, para. IV.1(b). </w:t>
      </w:r>
    </w:p>
    <w:p w:rsidR="00A368D8" w:rsidRDefault="00BB3753">
      <w:pPr>
        <w:widowControl w:val="0"/>
        <w:tabs>
          <w:tab w:val="left" w:pos="5865"/>
        </w:tabs>
        <w:autoSpaceDE w:val="0"/>
        <w:autoSpaceDN w:val="0"/>
        <w:adjustRightInd w:val="0"/>
        <w:spacing w:before="18" w:after="0" w:line="184" w:lineRule="exact"/>
        <w:ind w:left="2763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pacing w:val="-1"/>
          <w:sz w:val="17"/>
          <w:szCs w:val="17"/>
          <w:vertAlign w:val="superscript"/>
        </w:rPr>
        <w:t>96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, e.g., Basel NCP, supra n. 79, para. 9(c). 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97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e.g., Montreal NCP, supra n. 74, para. 3. </w:t>
      </w:r>
    </w:p>
    <w:p w:rsidR="00A368D8" w:rsidRPr="00B56D34" w:rsidRDefault="00BB3753">
      <w:pPr>
        <w:widowControl w:val="0"/>
        <w:tabs>
          <w:tab w:val="left" w:pos="5207"/>
        </w:tabs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98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Alpine</w:t>
      </w:r>
      <w:proofErr w:type="spellEnd"/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NCP, supra n. 81, para. 2. </w:t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99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Aarhus</w:t>
      </w:r>
      <w:proofErr w:type="spellEnd"/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NCP, supra n. 77, para.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18.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246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65" type="#_x0000_t75" style="position:absolute;left:0;text-align:left;margin-left:152pt;margin-top:1in;width:319pt;height:8pt;z-index:-27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266" type="#_x0000_t75" style="position:absolute;left:0;text-align:left;margin-left:0;margin-top:723pt;width:32pt;height:32pt;z-index:-26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67" type="#_x0000_t75" style="position:absolute;left:0;text-align:left;margin-left:517pt;margin-top:723pt;width:32pt;height:32pt;z-index:-25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68" type="#_x0000_t75" style="position:absolute;left:0;text-align:left;margin-left:517pt;margin-top:0;width:32pt;height:31pt;z-index:-24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69" type="#_x0000_t75" style="position:absolute;left:0;text-align:left;margin-left:0;margin-top:0;width:32pt;height:31pt;z-index:-23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70" type="#_x0000_t75" style="position:absolute;left:0;text-align:left;margin-left:123pt;margin-top:123pt;width:303pt;height:508pt;z-index:-22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1" w:name="Pg368"/>
      <w:bookmarkEnd w:id="21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290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290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585" w:right="40"/>
        <w:jc w:val="both"/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body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of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jurisprudence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on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environmental democracy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. Indeed, the vast major-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ity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of communications brought before the Committee come from civil society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>groups. Note that it is not necessary to show a speci</w:t>
      </w:r>
      <w:r w:rsidRPr="00B56D34">
        <w:rPr>
          <w:rFonts w:ascii="Arial" w:hAnsi="Arial" w:cs="Arial"/>
          <w:color w:val="000000"/>
          <w:w w:val="105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c interest to use this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avenue. The rules on locus standi and admissibility make way for </w:t>
      </w:r>
      <w:proofErr w:type="spell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communica</w:t>
      </w:r>
      <w:proofErr w:type="spell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tions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by non-governmental </w:t>
      </w:r>
      <w:proofErr w:type="spellStart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organisations</w:t>
      </w:r>
      <w:proofErr w:type="spellEnd"/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with an interest of a general nature,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which  allows  them  to  contribute  to  compliance  with  the  standards  of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environmental transparency introduced by the Convention.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 xml:space="preserve">100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585"/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</w:pPr>
    </w:p>
    <w:p w:rsidR="00A368D8" w:rsidRPr="00B56D34" w:rsidRDefault="00BB3753">
      <w:pPr>
        <w:widowControl w:val="0"/>
        <w:tabs>
          <w:tab w:val="left" w:pos="3078"/>
        </w:tabs>
        <w:autoSpaceDE w:val="0"/>
        <w:autoSpaceDN w:val="0"/>
        <w:adjustRightInd w:val="0"/>
        <w:spacing w:before="155" w:after="0" w:line="241" w:lineRule="exact"/>
        <w:ind w:left="2585"/>
        <w:rPr>
          <w:rFonts w:ascii="Arial" w:hAnsi="Arial" w:cs="Arial"/>
          <w:color w:val="000000"/>
          <w:spacing w:val="-7"/>
          <w:w w:val="85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 xml:space="preserve">9.3.4 </w:t>
      </w: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5"/>
          <w:sz w:val="21"/>
          <w:szCs w:val="21"/>
          <w:lang w:val="en-US"/>
        </w:rPr>
        <w:t xml:space="preserve">Composition of NCP organs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46" w:after="0" w:line="257" w:lineRule="exact"/>
        <w:ind w:left="2585" w:right="40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The composition of NCP organs has some practical importance. The question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can be considered from several standpoints, depending on whether one is 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interested in the geographical distribution of the members (as in the case of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  <w:t xml:space="preserve">environmental funds), the processes of nomination, or the capacity in which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members  act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.  Generally</w:t>
      </w:r>
      <w:proofErr w:type="gram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,  we</w:t>
      </w:r>
      <w:proofErr w:type="gram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 distinguish  between  organs  composed  of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representatives of States and organs consisting of independent experts. The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nomination procedure can, however, blur these two categories to some extent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as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independent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experts can be selected by States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. In addition, representatives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of States can sometimes show some independence.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But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the distinction remains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  <w:t xml:space="preserve">useful to understand how NCPs function.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" w:after="0" w:line="260" w:lineRule="exact"/>
        <w:ind w:left="2585" w:right="40" w:firstLine="199"/>
        <w:jc w:val="both"/>
        <w:rPr>
          <w:rFonts w:ascii="Times New Roman" w:hAnsi="Times New Roman"/>
          <w:color w:val="000000"/>
          <w:spacing w:val="3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The NCP of the Montreal Protocol is governed by a body (the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Compliance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Committee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) consisting of ten State representatives elected by the COP for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a period  of  two  years  in  accordance  with  an  equitable  geographical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distribution.</w:t>
      </w:r>
      <w:r w:rsidRPr="00B56D34">
        <w:rPr>
          <w:rFonts w:ascii="Times New Roman" w:hAnsi="Times New Roman"/>
          <w:color w:val="000000"/>
          <w:w w:val="102"/>
          <w:sz w:val="21"/>
          <w:szCs w:val="21"/>
          <w:vertAlign w:val="superscript"/>
          <w:lang w:val="en-US"/>
        </w:rPr>
        <w:t>101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The same applies to other compliance committees, such as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those  established  under  the  LRTAP  Convention</w:t>
      </w:r>
      <w:r w:rsidRPr="00B56D34">
        <w:rPr>
          <w:rFonts w:ascii="Times New Roman" w:hAnsi="Times New Roman"/>
          <w:color w:val="000000"/>
          <w:w w:val="106"/>
          <w:sz w:val="21"/>
          <w:szCs w:val="21"/>
          <w:vertAlign w:val="superscript"/>
          <w:lang w:val="en-US"/>
        </w:rPr>
        <w:t xml:space="preserve">102 </w:t>
      </w:r>
      <w:r w:rsidRPr="00B56D34">
        <w:rPr>
          <w:rFonts w:ascii="Times New Roman" w:hAnsi="Times New Roman"/>
          <w:color w:val="000000"/>
          <w:w w:val="109"/>
          <w:sz w:val="20"/>
          <w:szCs w:val="20"/>
          <w:lang w:val="en-US"/>
        </w:rPr>
        <w:t xml:space="preserve">and  the  Espoo </w:t>
      </w:r>
      <w:r w:rsidRPr="00B56D34">
        <w:rPr>
          <w:rFonts w:ascii="Times New Roman" w:hAnsi="Times New Roman"/>
          <w:color w:val="000000"/>
          <w:w w:val="109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>Convention.</w:t>
      </w:r>
      <w:r w:rsidRPr="00B56D34">
        <w:rPr>
          <w:rFonts w:ascii="Times New Roman" w:hAnsi="Times New Roman"/>
          <w:color w:val="000000"/>
          <w:w w:val="106"/>
          <w:sz w:val="21"/>
          <w:szCs w:val="21"/>
          <w:vertAlign w:val="superscript"/>
          <w:lang w:val="en-US"/>
        </w:rPr>
        <w:t>103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t xml:space="preserve">  At the other extreme, the NCP of the Kyoto Protocol is </w:t>
      </w:r>
      <w:r w:rsidRPr="00B56D34">
        <w:rPr>
          <w:rFonts w:ascii="Times New Roman" w:hAnsi="Times New Roman"/>
          <w:color w:val="000000"/>
          <w:w w:val="106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governed by a complex organ (also a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Compliance Committee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) consisting of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twenty experts elected by the COP and acting in their independent capacity.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 xml:space="preserve">104 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The Committee holds plenary sessions (twenty members), but also has two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branches (each with ten members) known as a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facilitative branch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(whose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  <w:t>purpose is to provide assistance) and an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enforcement branch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(which may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characterise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situations of non-compliance and impose sanctions).</w:t>
      </w:r>
      <w:proofErr w:type="gram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The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selec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tion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of members must also take into account geographic representation as well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>as technical expertise.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>105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The Aarhus Compliance Committee is composed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  <w:t xml:space="preserve">independent experts. It has eight members serving in a personal capacity (and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pro bono) who are </w:t>
      </w:r>
      <w:proofErr w:type="spellStart"/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>recognised</w:t>
      </w:r>
      <w:proofErr w:type="spellEnd"/>
      <w:r w:rsidRPr="00B56D34">
        <w:rPr>
          <w:rFonts w:ascii="Times New Roman" w:hAnsi="Times New Roman"/>
          <w:color w:val="000000"/>
          <w:w w:val="107"/>
          <w:sz w:val="20"/>
          <w:szCs w:val="20"/>
          <w:lang w:val="en-US"/>
        </w:rPr>
        <w:t xml:space="preserve"> experts, including in the legal matters.</w:t>
      </w:r>
      <w:r w:rsidRPr="00B56D34">
        <w:rPr>
          <w:rFonts w:ascii="Times New Roman" w:hAnsi="Times New Roman"/>
          <w:color w:val="000000"/>
          <w:w w:val="107"/>
          <w:sz w:val="21"/>
          <w:szCs w:val="21"/>
          <w:vertAlign w:val="superscript"/>
          <w:lang w:val="en-US"/>
        </w:rPr>
        <w:t xml:space="preserve">106 </w:t>
      </w:r>
      <w:r w:rsidRPr="00B56D34">
        <w:rPr>
          <w:rFonts w:ascii="Times New Roman" w:hAnsi="Times New Roman"/>
          <w:color w:val="000000"/>
          <w:w w:val="107"/>
          <w:sz w:val="21"/>
          <w:szCs w:val="21"/>
          <w:vertAlign w:val="superscript"/>
          <w:lang w:val="en-US"/>
        </w:rPr>
        <w:br/>
      </w:r>
      <w:proofErr w:type="gramStart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>Between</w:t>
      </w:r>
      <w:proofErr w:type="gramEnd"/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 these two extremes, one</w:t>
      </w:r>
      <w:r w:rsidRPr="00B56D34">
        <w:rPr>
          <w:rFonts w:ascii="Arial" w:hAnsi="Arial" w:cs="Arial"/>
          <w:color w:val="000000"/>
          <w:spacing w:val="3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nds other bodies, such as the committee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pacing w:val="3"/>
          <w:sz w:val="20"/>
          <w:szCs w:val="20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585"/>
        <w:rPr>
          <w:rFonts w:ascii="Times New Roman" w:hAnsi="Times New Roman"/>
          <w:color w:val="000000"/>
          <w:spacing w:val="3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5857"/>
        </w:tabs>
        <w:autoSpaceDE w:val="0"/>
        <w:autoSpaceDN w:val="0"/>
        <w:adjustRightInd w:val="0"/>
        <w:spacing w:before="55" w:after="0" w:line="184" w:lineRule="exact"/>
        <w:ind w:left="2585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100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Andrusevich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et al., supra n. 91, pp. 102ff.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101</w:t>
      </w:r>
      <w:r>
        <w:rPr>
          <w:rFonts w:ascii="Times New Roman" w:hAnsi="Times New Roman"/>
          <w:color w:val="000000"/>
          <w:sz w:val="16"/>
          <w:szCs w:val="16"/>
        </w:rPr>
        <w:t xml:space="preserve">  Montreal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NCP, supra n. 74, para.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5. </w:t>
      </w:r>
    </w:p>
    <w:p w:rsidR="00A368D8" w:rsidRPr="00B56D34" w:rsidRDefault="00BB3753">
      <w:pPr>
        <w:widowControl w:val="0"/>
        <w:tabs>
          <w:tab w:val="left" w:pos="2837"/>
        </w:tabs>
        <w:autoSpaceDE w:val="0"/>
        <w:autoSpaceDN w:val="0"/>
        <w:adjustRightInd w:val="0"/>
        <w:spacing w:before="3" w:after="0" w:line="200" w:lineRule="exact"/>
        <w:ind w:left="2585" w:right="72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-1"/>
          <w:sz w:val="17"/>
          <w:szCs w:val="17"/>
          <w:vertAlign w:val="superscript"/>
          <w:lang w:val="en-US"/>
        </w:rPr>
        <w:t>102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 Convention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 on Long-range Transboundary Air Pollution, 13 November 1979, 1302 UNTS 217 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ab/>
        <w:t>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LRTAP Convention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2837"/>
        </w:tabs>
        <w:autoSpaceDE w:val="0"/>
        <w:autoSpaceDN w:val="0"/>
        <w:adjustRightInd w:val="0"/>
        <w:spacing w:before="17" w:after="0" w:line="180" w:lineRule="exact"/>
        <w:ind w:left="2585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pacing w:val="1"/>
          <w:sz w:val="17"/>
          <w:szCs w:val="17"/>
          <w:vertAlign w:val="superscript"/>
          <w:lang w:val="en-US"/>
        </w:rPr>
        <w:t>103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 Convention</w:t>
      </w:r>
      <w:proofErr w:type="gramEnd"/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 xml:space="preserve"> on Environmental Impact Assessment in a Transboundary Context, 25 February </w:t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6"/>
          <w:szCs w:val="16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1991, 1989 UNTS 309 (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Espoo Convention</w:t>
      </w:r>
      <w:r w:rsidRPr="00B56D34">
        <w:rPr>
          <w:rFonts w:ascii="Arial" w:hAnsi="Arial" w:cs="Arial"/>
          <w:color w:val="000000"/>
          <w:spacing w:val="-1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). </w:t>
      </w:r>
    </w:p>
    <w:p w:rsidR="00A368D8" w:rsidRPr="00B56D34" w:rsidRDefault="00BB3753">
      <w:pPr>
        <w:widowControl w:val="0"/>
        <w:tabs>
          <w:tab w:val="left" w:pos="5777"/>
        </w:tabs>
        <w:autoSpaceDE w:val="0"/>
        <w:autoSpaceDN w:val="0"/>
        <w:adjustRightInd w:val="0"/>
        <w:spacing w:before="4" w:after="0" w:line="200" w:lineRule="exact"/>
        <w:ind w:left="2585" w:right="729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104</w:t>
      </w:r>
      <w:r>
        <w:rPr>
          <w:rFonts w:ascii="Times New Roman" w:hAnsi="Times New Roman"/>
          <w:color w:val="000000"/>
          <w:sz w:val="16"/>
          <w:szCs w:val="16"/>
        </w:rPr>
        <w:t xml:space="preserve">  Kyoto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NCP, supra n. 75, para. </w:t>
      </w:r>
      <w:proofErr w:type="gram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II(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3) and (6). 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ab/>
      </w: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105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Ibid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., para. </w:t>
      </w:r>
      <w:proofErr w:type="gram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II(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6), IV(1) and V(1). </w:t>
      </w: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106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Aarhus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NCP, supra n. 77, para. </w:t>
      </w:r>
      <w:proofErr w:type="gram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I(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1)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(2).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en-US"/>
        </w:rPr>
        <w:sectPr w:rsidR="00A368D8" w:rsidRPr="00B56D34">
          <w:pgSz w:w="10980" w:h="15120"/>
          <w:pgMar w:top="-20" w:right="142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71" type="#_x0000_t75" style="position:absolute;left:0;text-align:left;margin-left:161pt;margin-top:1in;width:319pt;height:8pt;z-index:-21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72" type="#_x0000_t75" style="position:absolute;left:0;text-align:left;margin-left:0;margin-top:723pt;width:32pt;height:32pt;z-index:-2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73" type="#_x0000_t75" style="position:absolute;left:0;text-align:left;margin-left:517pt;margin-top:723pt;width:32pt;height:32pt;z-index:-19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74" type="#_x0000_t75" style="position:absolute;left:0;text-align:left;margin-left:517pt;margin-top:0;width:32pt;height:31pt;z-index:-18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75" type="#_x0000_t75" style="position:absolute;left:0;text-align:left;margin-left:0;margin-top:0;width:32pt;height:31pt;z-index:-17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76" type="#_x0000_t75" style="position:absolute;left:0;text-align:left;margin-left:123pt;margin-top:123pt;width:303pt;height:508pt;z-index:-16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2" w:name="Pg369"/>
      <w:bookmarkEnd w:id="22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291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>291</w:t>
      </w:r>
      <w:r w:rsidRPr="00B56D34">
        <w:rPr>
          <w:rFonts w:ascii="Arial" w:hAnsi="Arial" w:cs="Arial"/>
          <w:color w:val="000000"/>
          <w:spacing w:val="-7"/>
          <w:w w:val="86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  <w:t>Managing non-compliance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763"/>
        <w:jc w:val="both"/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763" w:right="41"/>
        <w:jc w:val="both"/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established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under the Basel Convention, whose members are in fact represen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tatives of States, although this may not be made explicit in the instrument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establishing the NCP.</w:t>
      </w:r>
      <w:r w:rsidRPr="00B56D34">
        <w:rPr>
          <w:rFonts w:ascii="Times New Roman" w:hAnsi="Times New Roman"/>
          <w:color w:val="000000"/>
          <w:sz w:val="21"/>
          <w:szCs w:val="21"/>
          <w:vertAlign w:val="superscript"/>
          <w:lang w:val="en-US"/>
        </w:rPr>
        <w:t xml:space="preserve">107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after="0" w:line="260" w:lineRule="exact"/>
        <w:ind w:left="2763" w:right="41" w:firstLine="199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The composition of the organs in charge of administering the NCPs can 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 xml:space="preserve">explain how these procedures function. Aside from questions of </w:t>
      </w:r>
      <w:proofErr w:type="spellStart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indepen</w:t>
      </w:r>
      <w:proofErr w:type="spellEnd"/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t>-</w:t>
      </w:r>
      <w:r w:rsidRPr="00B56D34">
        <w:rPr>
          <w:rFonts w:ascii="Times New Roman" w:hAnsi="Times New Roman"/>
          <w:color w:val="000000"/>
          <w:w w:val="104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dence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, which may be driven by personal considerations as much as by the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  <w:t xml:space="preserve">institutional structure of an organ, the composition helps to understand the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different approaches (whether technical or more political)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favoured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by each </w:t>
      </w:r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organ. Commentators have observed that adopting a more political approach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runs the risk of making compliance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negotiable</w:t>
      </w:r>
      <w:r w:rsidRPr="00B56D34">
        <w:rPr>
          <w:rFonts w:ascii="Arial" w:hAnsi="Arial" w:cs="Arial"/>
          <w:color w:val="000000"/>
          <w:spacing w:val="-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.</w:t>
      </w:r>
      <w:r w:rsidRPr="00B56D34">
        <w:rPr>
          <w:rFonts w:ascii="Times New Roman" w:hAnsi="Times New Roman"/>
          <w:color w:val="000000"/>
          <w:spacing w:val="-1"/>
          <w:sz w:val="21"/>
          <w:szCs w:val="21"/>
          <w:vertAlign w:val="superscript"/>
          <w:lang w:val="en-US"/>
        </w:rPr>
        <w:t>108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Yet, the political dimension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t xml:space="preserve">of NCPs may also be seen as a necessary feature of their operation to the </w:t>
      </w:r>
      <w:r w:rsidRPr="00B56D34">
        <w:rPr>
          <w:rFonts w:ascii="Times New Roman" w:hAnsi="Times New Roman"/>
          <w:color w:val="000000"/>
          <w:w w:val="10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extent that they are mostly intended to manage non-compliance and not to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characterise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a breach and determine the ensuing legal consequences.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1" w:lineRule="exact"/>
        <w:ind w:left="2763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368D8" w:rsidRPr="00B56D34" w:rsidRDefault="00BB3753">
      <w:pPr>
        <w:widowControl w:val="0"/>
        <w:tabs>
          <w:tab w:val="left" w:pos="3256"/>
        </w:tabs>
        <w:autoSpaceDE w:val="0"/>
        <w:autoSpaceDN w:val="0"/>
        <w:adjustRightInd w:val="0"/>
        <w:spacing w:before="155" w:after="0" w:line="241" w:lineRule="exact"/>
        <w:ind w:left="2763"/>
        <w:rPr>
          <w:rFonts w:ascii="Arial" w:hAnsi="Arial" w:cs="Arial"/>
          <w:color w:val="000000"/>
          <w:spacing w:val="-7"/>
          <w:w w:val="84"/>
          <w:sz w:val="21"/>
          <w:szCs w:val="21"/>
          <w:lang w:val="en-US"/>
        </w:rPr>
      </w:pP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 xml:space="preserve">9.3.5 </w:t>
      </w:r>
      <w:r w:rsidRPr="00B56D34">
        <w:rPr>
          <w:rFonts w:ascii="Arial" w:hAnsi="Arial" w:cs="Arial"/>
          <w:color w:val="000000"/>
          <w:spacing w:val="-8"/>
          <w:w w:val="88"/>
          <w:sz w:val="21"/>
          <w:szCs w:val="21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4"/>
          <w:sz w:val="21"/>
          <w:szCs w:val="21"/>
          <w:lang w:val="en-US"/>
        </w:rPr>
        <w:t xml:space="preserve">Measures adopted by NCPs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150" w:after="0" w:line="253" w:lineRule="exact"/>
        <w:ind w:left="2763" w:right="40"/>
        <w:jc w:val="both"/>
        <w:rPr>
          <w:rFonts w:ascii="Times New Roman" w:hAnsi="Times New Roman"/>
          <w:color w:val="000000"/>
          <w:spacing w:val="-1"/>
          <w:sz w:val="20"/>
          <w:szCs w:val="20"/>
          <w:lang w:val="en-US"/>
        </w:rPr>
      </w:pP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We saw in Section 9.2.2 that the legal nature of the decisions adopted by NCPs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remains unsettled. However, we also noted that they have a signi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cant normative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in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uence in practice. We must now complete the analysis through a survey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different types of measures that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>can be adopted</w:t>
      </w:r>
      <w:proofErr w:type="gramEnd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 by compliance committees.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2" w:after="0" w:line="260" w:lineRule="exact"/>
        <w:ind w:left="2763" w:right="41" w:firstLine="199"/>
        <w:jc w:val="both"/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The  primary  objective  of  NCPs  is  to  determine  the  reasons  for  non-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compliance and to provide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nancial and technical assistance. This </w:t>
      </w:r>
      <w:proofErr w:type="gram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is re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fl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ected</w:t>
      </w:r>
      <w:proofErr w:type="gram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in the measures they are entitled to adopt. </w:t>
      </w:r>
      <w:proofErr w:type="gramStart"/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t xml:space="preserve">For example, the Facilitation Branch </w:t>
      </w:r>
      <w:r w:rsidRPr="00B56D34">
        <w:rPr>
          <w:rFonts w:ascii="Times New Roman" w:hAnsi="Times New Roman"/>
          <w:color w:val="000000"/>
          <w:spacing w:val="-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t xml:space="preserve">of the Committee established under the Kyoto Protocol can conclude to the </w:t>
      </w:r>
      <w:r w:rsidRPr="00B56D34">
        <w:rPr>
          <w:rFonts w:ascii="Times New Roman" w:hAnsi="Times New Roman"/>
          <w:color w:val="000000"/>
          <w:spacing w:val="3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(p)</w:t>
      </w:r>
      <w:proofErr w:type="spellStart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>rovision</w:t>
      </w:r>
      <w:proofErr w:type="spellEnd"/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of advice and facilitation of assistance</w:t>
      </w:r>
      <w:r w:rsidRPr="00B56D34">
        <w:rPr>
          <w:rFonts w:ascii="Arial" w:hAnsi="Arial" w:cs="Arial"/>
          <w:color w:val="000000"/>
          <w:w w:val="103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 or the </w:t>
      </w:r>
      <w:r w:rsidRPr="00B56D34">
        <w:rPr>
          <w:rFonts w:ascii="Arial" w:hAnsi="Arial" w:cs="Arial"/>
          <w:color w:val="000000"/>
          <w:sz w:val="20"/>
          <w:szCs w:val="20"/>
          <w:lang w:val="en-US"/>
        </w:rPr>
        <w:t>‘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(f)</w:t>
      </w:r>
      <w:proofErr w:type="spellStart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>acilitation</w:t>
      </w:r>
      <w:proofErr w:type="spellEnd"/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t xml:space="preserve"> of </w:t>
      </w:r>
      <w:r w:rsidRPr="00B56D34">
        <w:rPr>
          <w:rFonts w:ascii="Times New Roman" w:hAnsi="Times New Roman"/>
          <w:color w:val="000000"/>
          <w:sz w:val="20"/>
          <w:szCs w:val="20"/>
          <w:lang w:val="en-US"/>
        </w:rPr>
        <w:br/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nancial and technical assistance, including technology transfer and capacity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  <w:t>building</w:t>
      </w:r>
      <w:r w:rsidRPr="00B56D34">
        <w:rPr>
          <w:rFonts w:ascii="Arial" w:hAnsi="Arial" w:cs="Arial"/>
          <w:color w:val="000000"/>
          <w:spacing w:val="1"/>
          <w:sz w:val="20"/>
          <w:szCs w:val="20"/>
          <w:lang w:val="en-US"/>
        </w:rPr>
        <w:t>’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>.</w:t>
      </w:r>
      <w:r w:rsidRPr="00B56D34">
        <w:rPr>
          <w:rFonts w:ascii="Times New Roman" w:hAnsi="Times New Roman"/>
          <w:color w:val="000000"/>
          <w:spacing w:val="1"/>
          <w:sz w:val="21"/>
          <w:szCs w:val="21"/>
          <w:vertAlign w:val="superscript"/>
          <w:lang w:val="en-US"/>
        </w:rPr>
        <w:t>109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  The same applies to all other committees that administer NCPs.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5"/>
          <w:sz w:val="20"/>
          <w:szCs w:val="20"/>
          <w:lang w:val="en-US"/>
        </w:rPr>
        <w:t xml:space="preserve">But the analysis of the causes of non-compliance in a given case may also lead to a </w:t>
      </w:r>
      <w:r w:rsidRPr="00B56D34">
        <w:rPr>
          <w:rFonts w:ascii="Times New Roman" w:hAnsi="Times New Roman"/>
          <w:color w:val="000000"/>
          <w:spacing w:val="-5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>stronger stance, including the adoption of sanctions.</w:t>
      </w:r>
      <w:proofErr w:type="gramEnd"/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These can range from simple 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br/>
        <w:t>requests for additional information</w:t>
      </w:r>
      <w:r w:rsidRPr="00B56D34">
        <w:rPr>
          <w:rFonts w:ascii="Times New Roman" w:hAnsi="Times New Roman"/>
          <w:color w:val="000000"/>
          <w:spacing w:val="-4"/>
          <w:sz w:val="21"/>
          <w:szCs w:val="21"/>
          <w:vertAlign w:val="superscript"/>
          <w:lang w:val="en-US"/>
        </w:rPr>
        <w:t>110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to the issuance of warnings</w:t>
      </w:r>
      <w:r w:rsidRPr="00B56D34">
        <w:rPr>
          <w:rFonts w:ascii="Times New Roman" w:hAnsi="Times New Roman"/>
          <w:color w:val="000000"/>
          <w:spacing w:val="-4"/>
          <w:sz w:val="21"/>
          <w:szCs w:val="21"/>
          <w:vertAlign w:val="superscript"/>
          <w:lang w:val="en-US"/>
        </w:rPr>
        <w:t>111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 or</w:t>
      </w:r>
      <w:r w:rsidRPr="00B56D34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 fi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t xml:space="preserve">ndings of </w:t>
      </w:r>
      <w:r w:rsidRPr="00B56D34">
        <w:rPr>
          <w:rFonts w:ascii="Times New Roman" w:hAnsi="Times New Roman"/>
          <w:color w:val="000000"/>
          <w:spacing w:val="-4"/>
          <w:sz w:val="20"/>
          <w:szCs w:val="20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non-compliance</w:t>
      </w:r>
      <w:proofErr w:type="gramStart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,</w:t>
      </w:r>
      <w:r w:rsidRPr="00B56D34"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  <w:t>112</w:t>
      </w:r>
      <w:proofErr w:type="gramEnd"/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 xml:space="preserve"> or even the adoption of real sanctions such as the suspension 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br/>
        <w:t>of certain bene</w:t>
      </w:r>
      <w:r w:rsidRPr="00B56D34">
        <w:rPr>
          <w:rFonts w:ascii="Arial" w:hAnsi="Arial" w:cs="Arial"/>
          <w:color w:val="000000"/>
          <w:spacing w:val="-3"/>
          <w:sz w:val="20"/>
          <w:szCs w:val="20"/>
          <w:lang w:val="en-US"/>
        </w:rPr>
        <w:t>fi</w:t>
      </w:r>
      <w:r w:rsidRPr="00B56D34">
        <w:rPr>
          <w:rFonts w:ascii="Times New Roman" w:hAnsi="Times New Roman"/>
          <w:color w:val="000000"/>
          <w:spacing w:val="-3"/>
          <w:sz w:val="20"/>
          <w:szCs w:val="20"/>
          <w:lang w:val="en-US"/>
        </w:rPr>
        <w:t>ts under the respective treaty or the application of penalties.</w:t>
      </w:r>
      <w:r w:rsidRPr="00B56D34"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  <w:t xml:space="preserve">113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184" w:lineRule="exact"/>
        <w:ind w:left="2763"/>
        <w:rPr>
          <w:rFonts w:ascii="Times New Roman" w:hAnsi="Times New Roman"/>
          <w:color w:val="000000"/>
          <w:spacing w:val="-3"/>
          <w:sz w:val="21"/>
          <w:szCs w:val="21"/>
          <w:vertAlign w:val="superscript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155" w:after="0" w:line="184" w:lineRule="exact"/>
        <w:ind w:left="2763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7"/>
          <w:szCs w:val="17"/>
          <w:vertAlign w:val="superscript"/>
          <w:lang w:val="en-US"/>
        </w:rPr>
        <w:t>107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Urbinati</w:t>
      </w:r>
      <w:proofErr w:type="spell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, supra n. 71, pp. 58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9. </w:t>
      </w:r>
    </w:p>
    <w:p w:rsidR="00A368D8" w:rsidRPr="00B56D34" w:rsidRDefault="00BB3753">
      <w:pPr>
        <w:widowControl w:val="0"/>
        <w:tabs>
          <w:tab w:val="left" w:pos="4186"/>
        </w:tabs>
        <w:autoSpaceDE w:val="0"/>
        <w:autoSpaceDN w:val="0"/>
        <w:adjustRightInd w:val="0"/>
        <w:spacing w:before="16" w:after="0" w:line="184" w:lineRule="exact"/>
        <w:ind w:left="2763"/>
        <w:rPr>
          <w:rFonts w:ascii="Times New Roman" w:hAnsi="Times New Roman"/>
          <w:color w:val="000000"/>
          <w:w w:val="103"/>
          <w:sz w:val="16"/>
          <w:szCs w:val="16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3"/>
          <w:sz w:val="17"/>
          <w:szCs w:val="17"/>
          <w:vertAlign w:val="superscript"/>
          <w:lang w:val="en-US"/>
        </w:rPr>
        <w:t>108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See</w:t>
      </w:r>
      <w:proofErr w:type="gram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G.  </w:t>
      </w:r>
      <w:proofErr w:type="spellStart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Handl</w:t>
      </w:r>
      <w:proofErr w:type="spell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, 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ab/>
      </w:r>
      <w:proofErr w:type="gramStart"/>
      <w:r w:rsidRPr="00B56D34">
        <w:rPr>
          <w:rFonts w:ascii="Arial" w:hAnsi="Arial" w:cs="Arial"/>
          <w:color w:val="000000"/>
          <w:w w:val="103"/>
          <w:sz w:val="16"/>
          <w:szCs w:val="16"/>
          <w:lang w:val="en-US"/>
        </w:rPr>
        <w:t>‘</w:t>
      </w:r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>Compliance  Control</w:t>
      </w:r>
      <w:proofErr w:type="gramEnd"/>
      <w:r w:rsidRPr="00B56D34">
        <w:rPr>
          <w:rFonts w:ascii="Times New Roman" w:hAnsi="Times New Roman"/>
          <w:color w:val="000000"/>
          <w:w w:val="103"/>
          <w:sz w:val="16"/>
          <w:szCs w:val="16"/>
          <w:lang w:val="en-US"/>
        </w:rPr>
        <w:t xml:space="preserve">  Mechanisms  and  International  Environmental </w:t>
      </w:r>
    </w:p>
    <w:p w:rsidR="00A368D8" w:rsidRDefault="00BB3753">
      <w:pPr>
        <w:widowControl w:val="0"/>
        <w:autoSpaceDE w:val="0"/>
        <w:autoSpaceDN w:val="0"/>
        <w:adjustRightInd w:val="0"/>
        <w:spacing w:before="3" w:after="0" w:line="200" w:lineRule="exact"/>
        <w:ind w:left="2763" w:right="713" w:firstLine="251"/>
        <w:jc w:val="both"/>
        <w:rPr>
          <w:rFonts w:ascii="Times New Roman" w:hAnsi="Times New Roman"/>
          <w:color w:val="000000"/>
          <w:sz w:val="16"/>
          <w:szCs w:val="16"/>
        </w:rPr>
      </w:pP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Obligations</w:t>
      </w:r>
      <w:r w:rsidRPr="00B56D34">
        <w:rPr>
          <w:rFonts w:ascii="Arial" w:hAnsi="Arial" w:cs="Arial"/>
          <w:color w:val="000000"/>
          <w:sz w:val="16"/>
          <w:szCs w:val="16"/>
          <w:lang w:val="en-US"/>
        </w:rPr>
        <w:t>’</w:t>
      </w:r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(1997) </w:t>
      </w:r>
      <w:proofErr w:type="gramStart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>9</w:t>
      </w:r>
      <w:proofErr w:type="gramEnd"/>
      <w:r w:rsidRPr="00B56D34">
        <w:rPr>
          <w:rFonts w:ascii="Times New Roman" w:hAnsi="Times New Roman"/>
          <w:color w:val="000000"/>
          <w:sz w:val="16"/>
          <w:szCs w:val="16"/>
          <w:lang w:val="en-US"/>
        </w:rPr>
        <w:t xml:space="preserve"> Tulane Journal of International and Comparative Law 29, 37. </w:t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109</w:t>
      </w:r>
      <w:r>
        <w:rPr>
          <w:rFonts w:ascii="Times New Roman" w:hAnsi="Times New Roman"/>
          <w:color w:val="000000"/>
          <w:sz w:val="16"/>
          <w:szCs w:val="16"/>
        </w:rPr>
        <w:t xml:space="preserve">  Kyoto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NCP, supra n. 75, para. XIV. </w:t>
      </w:r>
    </w:p>
    <w:p w:rsidR="00A368D8" w:rsidRDefault="00BB3753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00" w:lineRule="exact"/>
        <w:ind w:left="2763" w:right="73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pacing w:val="1"/>
          <w:sz w:val="17"/>
          <w:szCs w:val="17"/>
          <w:vertAlign w:val="superscript"/>
        </w:rPr>
        <w:t>110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, e.g., Montreal NCP, supra n. 74, paras. 3 </w:t>
      </w:r>
      <w:proofErr w:type="spellStart"/>
      <w:r>
        <w:rPr>
          <w:rFonts w:ascii="Times New Roman" w:hAnsi="Times New Roman"/>
          <w:color w:val="000000"/>
          <w:spacing w:val="1"/>
          <w:sz w:val="16"/>
          <w:szCs w:val="16"/>
        </w:rPr>
        <w:t>and</w:t>
      </w:r>
      <w:proofErr w:type="spell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5(c); Basel NCP, supra n. 79, para. 22(a);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br/>
      </w:r>
      <w:r>
        <w:rPr>
          <w:rFonts w:ascii="Times New Roman" w:hAnsi="Times New Roman"/>
          <w:color w:val="000000"/>
          <w:spacing w:val="1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CITES NCP, supra n. 80, para. 29(b); Cartagena NCP, supra n. 76, para. VI.1(d); Kyoto NCP, 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supra n. 75, para.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IX(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3). </w:t>
      </w:r>
    </w:p>
    <w:p w:rsidR="00A368D8" w:rsidRPr="00B56D34" w:rsidRDefault="00BB3753">
      <w:pPr>
        <w:widowControl w:val="0"/>
        <w:tabs>
          <w:tab w:val="left" w:pos="3015"/>
        </w:tabs>
        <w:autoSpaceDE w:val="0"/>
        <w:autoSpaceDN w:val="0"/>
        <w:adjustRightInd w:val="0"/>
        <w:spacing w:before="4" w:after="0" w:line="196" w:lineRule="exact"/>
        <w:ind w:left="2763" w:right="73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</w:pPr>
      <w:proofErr w:type="gramStart"/>
      <w:r>
        <w:rPr>
          <w:rFonts w:ascii="Times New Roman" w:hAnsi="Times New Roman"/>
          <w:color w:val="000000"/>
          <w:spacing w:val="1"/>
          <w:sz w:val="17"/>
          <w:szCs w:val="17"/>
          <w:vertAlign w:val="superscript"/>
        </w:rPr>
        <w:t>111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1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, e.g., Basel NCP, supra n. 79, para. 20(b); CITES NCP, supra n. 80, para. 29(c) </w:t>
      </w:r>
      <w:proofErr w:type="spellStart"/>
      <w:r>
        <w:rPr>
          <w:rFonts w:ascii="Times New Roman" w:hAnsi="Times New Roman"/>
          <w:color w:val="000000"/>
          <w:spacing w:val="1"/>
          <w:sz w:val="16"/>
          <w:szCs w:val="16"/>
        </w:rPr>
        <w:t>and</w:t>
      </w:r>
      <w:proofErr w:type="spellEnd"/>
      <w:r>
        <w:rPr>
          <w:rFonts w:ascii="Times New Roman" w:hAnsi="Times New Roman"/>
          <w:color w:val="000000"/>
          <w:spacing w:val="1"/>
          <w:sz w:val="16"/>
          <w:szCs w:val="16"/>
        </w:rPr>
        <w:t xml:space="preserve"> (g);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br/>
      </w:r>
      <w:r>
        <w:rPr>
          <w:rFonts w:ascii="Times New Roman" w:hAnsi="Times New Roman"/>
          <w:color w:val="000000"/>
          <w:spacing w:val="1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 xml:space="preserve">Cartagena NCP, supra n. 76, para. VI.2(b);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Aarhus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NCP, supra n. 77, para. XII.37(f). 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7"/>
          <w:szCs w:val="17"/>
          <w:vertAlign w:val="superscript"/>
        </w:rPr>
        <w:t>112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See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, e.g., Montreal NCP, supra n. 74, para. 9; Kyoto NCP, supra n. 75, paras.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IX(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4)(a)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and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 xml:space="preserve"> (7) </w:t>
      </w:r>
      <w:r>
        <w:rPr>
          <w:rFonts w:ascii="Times New Roman" w:hAnsi="Times New Roman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and</w:t>
      </w:r>
      <w:proofErr w:type="spell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XV(1)(a); CITES NCP, supra n. 80, para. 29(g); </w:t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Aarhus</w:t>
      </w:r>
      <w:proofErr w:type="spell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NCP, supra n. 77, para. XII.37(e). </w:t>
      </w:r>
      <w:proofErr w:type="gramStart"/>
      <w:r>
        <w:rPr>
          <w:rFonts w:ascii="Times New Roman" w:hAnsi="Times New Roman"/>
          <w:color w:val="000000"/>
          <w:spacing w:val="-1"/>
          <w:sz w:val="17"/>
          <w:szCs w:val="17"/>
          <w:vertAlign w:val="superscript"/>
        </w:rPr>
        <w:t>113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See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, e.g., </w:t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Aarhus</w:t>
      </w:r>
      <w:proofErr w:type="spell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NCP, supra n. 77, para. XII.37(g); CITES NCP, supra n. 80, paras. 30 </w:t>
      </w:r>
      <w:proofErr w:type="spellStart"/>
      <w:r>
        <w:rPr>
          <w:rFonts w:ascii="Times New Roman" w:hAnsi="Times New Roman"/>
          <w:color w:val="000000"/>
          <w:spacing w:val="-1"/>
          <w:sz w:val="16"/>
          <w:szCs w:val="16"/>
        </w:rPr>
        <w:t>and</w:t>
      </w:r>
      <w:proofErr w:type="spellEnd"/>
      <w:r>
        <w:rPr>
          <w:rFonts w:ascii="Times New Roman" w:hAnsi="Times New Roman"/>
          <w:color w:val="000000"/>
          <w:spacing w:val="-1"/>
          <w:sz w:val="16"/>
          <w:szCs w:val="16"/>
        </w:rPr>
        <w:t xml:space="preserve"> 34; </w:t>
      </w:r>
      <w:r>
        <w:rPr>
          <w:rFonts w:ascii="Times New Roman" w:hAnsi="Times New Roman"/>
          <w:color w:val="000000"/>
          <w:spacing w:val="-1"/>
          <w:sz w:val="16"/>
          <w:szCs w:val="16"/>
        </w:rPr>
        <w:br/>
      </w:r>
      <w:r>
        <w:rPr>
          <w:rFonts w:ascii="Times New Roman" w:hAnsi="Times New Roman"/>
          <w:color w:val="000000"/>
          <w:spacing w:val="-1"/>
          <w:sz w:val="16"/>
          <w:szCs w:val="16"/>
        </w:rPr>
        <w:tab/>
        <w:t xml:space="preserve">Kyoto NCP, supra n. 75, para. </w:t>
      </w:r>
      <w:proofErr w:type="gramStart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>XV(</w:t>
      </w:r>
      <w:proofErr w:type="gramEnd"/>
      <w:r w:rsidRPr="00B56D34"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t xml:space="preserve">5).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6"/>
          <w:szCs w:val="16"/>
          <w:lang w:val="en-US"/>
        </w:rPr>
        <w:sectPr w:rsidR="00A368D8" w:rsidRPr="00B56D34">
          <w:pgSz w:w="10980" w:h="15120"/>
          <w:pgMar w:top="-20" w:right="124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77" type="#_x0000_t75" style="position:absolute;left:0;text-align:left;margin-left:152pt;margin-top:1in;width:319pt;height:8pt;z-index:-15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278" type="#_x0000_t75" style="position:absolute;left:0;text-align:left;margin-left:0;margin-top:723pt;width:32pt;height:32pt;z-index:-1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79" type="#_x0000_t75" style="position:absolute;left:0;text-align:left;margin-left:517pt;margin-top:723pt;width:32pt;height:32pt;z-index:-13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80" type="#_x0000_t75" style="position:absolute;left:0;text-align:left;margin-left:517pt;margin-top:0;width:32pt;height:31pt;z-index:-1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81" type="#_x0000_t75" style="position:absolute;left:0;text-align:left;margin-left:0;margin-top:0;width:32pt;height:31pt;z-index:-11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82" type="#_x0000_t75" style="position:absolute;left:0;text-align:left;margin-left:123pt;margin-top:123pt;width:303pt;height:508pt;z-index:-10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3" w:name="Pg370"/>
      <w:bookmarkEnd w:id="23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292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292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0" w:lineRule="exact"/>
        <w:ind w:left="2585"/>
        <w:jc w:val="both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82" w:after="0" w:line="260" w:lineRule="exact"/>
        <w:ind w:left="2585" w:right="41" w:firstLine="199"/>
        <w:jc w:val="both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>The  transition</w:t>
      </w:r>
      <w:proofErr w:type="gramEnd"/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  from  facilitative  measures  to</w:t>
      </w:r>
      <w:r w:rsidRPr="00B56D34">
        <w:rPr>
          <w:rFonts w:ascii="Arial" w:hAnsi="Arial" w:cs="Arial"/>
          <w:color w:val="000000"/>
          <w:w w:val="102"/>
          <w:sz w:val="20"/>
          <w:szCs w:val="20"/>
          <w:lang w:val="en-US"/>
        </w:rPr>
        <w:t xml:space="preserve">  fi</w:t>
      </w:r>
      <w:r w:rsidRPr="00B56D34">
        <w:rPr>
          <w:rFonts w:ascii="Times New Roman" w:hAnsi="Times New Roman"/>
          <w:color w:val="000000"/>
          <w:w w:val="102"/>
          <w:sz w:val="20"/>
          <w:szCs w:val="20"/>
          <w:lang w:val="en-US"/>
        </w:rPr>
        <w:t xml:space="preserve">rmer  measures  is  also </w:t>
      </w:r>
      <w:proofErr w:type="spellStart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>characterised</w:t>
      </w:r>
      <w:proofErr w:type="spellEnd"/>
      <w:r w:rsidRPr="00B56D34">
        <w:rPr>
          <w:rFonts w:ascii="Times New Roman" w:hAnsi="Times New Roman"/>
          <w:color w:val="000000"/>
          <w:spacing w:val="2"/>
          <w:sz w:val="20"/>
          <w:szCs w:val="20"/>
          <w:lang w:val="en-US"/>
        </w:rPr>
        <w:t xml:space="preserve"> by the passage from a non-confrontational approach to a logic </w:t>
      </w:r>
      <w:r w:rsidRPr="00B56D34">
        <w:rPr>
          <w:rFonts w:ascii="Times New Roman" w:hAnsi="Times New Roman"/>
          <w:color w:val="000000"/>
          <w:w w:val="103"/>
          <w:sz w:val="20"/>
          <w:szCs w:val="20"/>
          <w:lang w:val="en-US"/>
        </w:rPr>
        <w:t xml:space="preserve">that is closer to the traditional methods of implementation in international </w:t>
      </w:r>
      <w:r w:rsidRPr="00B56D34">
        <w:rPr>
          <w:rFonts w:ascii="Times New Roman" w:hAnsi="Times New Roman"/>
          <w:color w:val="000000"/>
          <w:spacing w:val="1"/>
          <w:sz w:val="20"/>
          <w:szCs w:val="20"/>
          <w:lang w:val="en-US"/>
        </w:rPr>
        <w:t xml:space="preserve">environmental law studied in Chapter 8.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64" w:lineRule="exact"/>
        <w:ind w:left="2585"/>
        <w:rPr>
          <w:rFonts w:ascii="Times New Roman" w:hAnsi="Times New Roman"/>
          <w:color w:val="000000"/>
          <w:spacing w:val="1"/>
          <w:sz w:val="20"/>
          <w:szCs w:val="20"/>
          <w:lang w:val="en-US"/>
        </w:rPr>
      </w:pPr>
    </w:p>
    <w:p w:rsidR="00A368D8" w:rsidRPr="00B56D34" w:rsidRDefault="00BB3753">
      <w:pPr>
        <w:widowControl w:val="0"/>
        <w:autoSpaceDE w:val="0"/>
        <w:autoSpaceDN w:val="0"/>
        <w:adjustRightInd w:val="0"/>
        <w:spacing w:before="93" w:after="0" w:line="264" w:lineRule="exact"/>
        <w:ind w:left="2585"/>
        <w:rPr>
          <w:rFonts w:ascii="Arial" w:hAnsi="Arial" w:cs="Arial"/>
          <w:color w:val="000000"/>
          <w:spacing w:val="-7"/>
          <w:w w:val="91"/>
          <w:sz w:val="23"/>
          <w:szCs w:val="23"/>
          <w:lang w:val="en-US"/>
        </w:rPr>
      </w:pPr>
      <w:r w:rsidRPr="00B56D34">
        <w:rPr>
          <w:rFonts w:ascii="Arial" w:hAnsi="Arial" w:cs="Arial"/>
          <w:color w:val="000000"/>
          <w:spacing w:val="-7"/>
          <w:w w:val="91"/>
          <w:sz w:val="23"/>
          <w:szCs w:val="23"/>
          <w:lang w:val="en-US"/>
        </w:rPr>
        <w:t xml:space="preserve">Select bibliography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before="136" w:after="0" w:line="240" w:lineRule="exact"/>
        <w:ind w:left="2585" w:right="56"/>
        <w:rPr>
          <w:rFonts w:ascii="Times New Roman" w:hAnsi="Times New Roman"/>
          <w:color w:val="000000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Andrusevich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, A., T.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Alge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and C. Konrad (eds.), Case Law of the Aarhus Convention 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Compliance Committee (2004</w:t>
      </w:r>
      <w:r w:rsidRPr="00B56D34">
        <w:rPr>
          <w:rFonts w:ascii="Arial" w:hAnsi="Arial" w:cs="Arial"/>
          <w:color w:val="000000"/>
          <w:spacing w:val="-2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2011) (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Lviv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: RACSE, 2nd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edn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, 2011).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Biermann, F.,</w:t>
      </w:r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Financing Environmental Policies in the South: Experiences from the 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Multilateral Ozone Fund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(1997) 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9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International Environmental Affairs 179.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Boisson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de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Chazournes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, L.,</w:t>
      </w:r>
      <w:r w:rsidRPr="00B56D34">
        <w:rPr>
          <w:rFonts w:ascii="Arial" w:hAnsi="Arial" w:cs="Arial"/>
          <w:color w:val="000000"/>
          <w:spacing w:val="-2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La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mise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en</w:t>
      </w:r>
      <w:proofErr w:type="spellEnd"/>
      <w:r w:rsidRPr="00B56D34">
        <w:rPr>
          <w:rFonts w:ascii="Arial" w:hAnsi="Arial" w:cs="Arial"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Arial" w:hAnsi="Arial" w:cs="Arial"/>
          <w:color w:val="000000"/>
          <w:spacing w:val="-2"/>
          <w:sz w:val="18"/>
          <w:szCs w:val="18"/>
          <w:lang w:val="en-US"/>
        </w:rPr>
        <w:t>œ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uvre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du droit international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dans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le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domaine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de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la protection de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l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environnement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: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Enjeux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et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dé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fi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s</w:t>
      </w:r>
      <w:proofErr w:type="spellEnd"/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(1995) Revue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générale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de droit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  <w:t xml:space="preserve">international public 37.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765" w:right="56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Arial" w:hAnsi="Arial" w:cs="Arial"/>
          <w:color w:val="000000"/>
          <w:w w:val="102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Le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Fonds</w:t>
      </w:r>
      <w:proofErr w:type="spell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 pour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l</w:t>
      </w:r>
      <w:r w:rsidRPr="00B56D34">
        <w:rPr>
          <w:rFonts w:ascii="Arial" w:hAnsi="Arial" w:cs="Arial"/>
          <w:color w:val="000000"/>
          <w:w w:val="102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environnement</w:t>
      </w:r>
      <w:proofErr w:type="spell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mondial</w:t>
      </w:r>
      <w:proofErr w:type="spell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: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Recherche</w:t>
      </w:r>
      <w:proofErr w:type="spell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 </w:t>
      </w:r>
      <w:proofErr w:type="gram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et</w:t>
      </w:r>
      <w:proofErr w:type="gram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conquête</w:t>
      </w:r>
      <w:proofErr w:type="spell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 de son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identité</w:t>
      </w:r>
      <w:proofErr w:type="spellEnd"/>
      <w:r w:rsidRPr="00B56D34">
        <w:rPr>
          <w:rFonts w:ascii="Arial" w:hAnsi="Arial" w:cs="Arial"/>
          <w:color w:val="000000"/>
          <w:w w:val="102"/>
          <w:sz w:val="18"/>
          <w:szCs w:val="18"/>
          <w:lang w:val="en-US"/>
        </w:rPr>
        <w:t xml:space="preserve">’ </w:t>
      </w:r>
      <w:r w:rsidRPr="00B56D34">
        <w:rPr>
          <w:rFonts w:ascii="Arial" w:hAnsi="Arial" w:cs="Arial"/>
          <w:color w:val="000000"/>
          <w:w w:val="102"/>
          <w:sz w:val="18"/>
          <w:szCs w:val="18"/>
          <w:lang w:val="en-US"/>
        </w:rPr>
        <w:br/>
      </w:r>
      <w:r w:rsidRPr="00B56D34">
        <w:rPr>
          <w:rFonts w:ascii="Arial" w:hAnsi="Arial" w:cs="Arial"/>
          <w:color w:val="000000"/>
          <w:w w:val="10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(1995) 41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Annuaire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français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de droit international 612.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before="9" w:after="0" w:line="230" w:lineRule="exact"/>
        <w:ind w:left="2765" w:right="56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Technical and Financial Assistance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, in D.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Bodansky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, J.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Brunnée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and E. Hey (eds.),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proofErr w:type="gram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The</w:t>
      </w:r>
      <w:proofErr w:type="gram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 Oxford Handbook of International Environmental Law (Oxford University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Press, 2007), pp. 948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72.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before="2" w:after="0" w:line="240" w:lineRule="exact"/>
        <w:ind w:left="2585" w:right="56"/>
        <w:rPr>
          <w:rFonts w:ascii="Times New Roman" w:hAnsi="Times New Roman"/>
          <w:color w:val="000000"/>
          <w:spacing w:val="-2"/>
          <w:sz w:val="18"/>
          <w:szCs w:val="18"/>
          <w:lang w:val="en-US"/>
        </w:rPr>
      </w:pP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Brown  Weiss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,  E.  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and  H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.  K.  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Jacobson  (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eds.),  Engaging  Countries:  Strengthening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 xml:space="preserve">Compliance with International Environmental Accords (Cambridge MA: MIT </w:t>
      </w:r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Press, 1998).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585" w:right="57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Brunnée</w:t>
      </w:r>
      <w:proofErr w:type="spell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, J.,</w:t>
      </w:r>
      <w:r w:rsidRPr="00B56D34">
        <w:rPr>
          <w:rFonts w:ascii="Arial" w:hAnsi="Arial" w:cs="Arial"/>
          <w:color w:val="000000"/>
          <w:spacing w:val="2"/>
          <w:sz w:val="18"/>
          <w:szCs w:val="18"/>
          <w:lang w:val="en-US"/>
        </w:rPr>
        <w:t xml:space="preserve"> ‘</w:t>
      </w:r>
      <w:proofErr w:type="spellStart"/>
      <w:proofErr w:type="gram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COPing</w:t>
      </w:r>
      <w:proofErr w:type="spellEnd"/>
      <w:proofErr w:type="gram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 with Consent: Law-making under Multilateral Environmental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Agreements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(2002) 15 Leiden Journal of International Law 1.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585" w:right="56"/>
        <w:rPr>
          <w:rFonts w:ascii="Times New Roman" w:hAnsi="Times New Roman"/>
          <w:color w:val="000000"/>
          <w:spacing w:val="-3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Chayes</w:t>
      </w:r>
      <w:proofErr w:type="spellEnd"/>
      <w:proofErr w:type="gram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,  A</w:t>
      </w:r>
      <w:proofErr w:type="gram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.  </w:t>
      </w:r>
      <w:proofErr w:type="gram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and  A</w:t>
      </w:r>
      <w:proofErr w:type="gram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.  </w:t>
      </w:r>
      <w:proofErr w:type="gram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Handler 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Chayes</w:t>
      </w:r>
      <w:proofErr w:type="spellEnd"/>
      <w:proofErr w:type="gram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,  The  New  Sovereignty,  Compliance  with 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International Regulatory Agreements (Cambridge MA: Harvard University Press,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 xml:space="preserve">1998). </w:t>
      </w:r>
    </w:p>
    <w:p w:rsidR="00A368D8" w:rsidRPr="00B56D34" w:rsidRDefault="00BB3753">
      <w:pPr>
        <w:widowControl w:val="0"/>
        <w:tabs>
          <w:tab w:val="left" w:pos="3594"/>
        </w:tabs>
        <w:autoSpaceDE w:val="0"/>
        <w:autoSpaceDN w:val="0"/>
        <w:adjustRightInd w:val="0"/>
        <w:spacing w:before="28" w:after="0" w:line="207" w:lineRule="exact"/>
        <w:ind w:left="2585"/>
        <w:rPr>
          <w:rFonts w:ascii="Times New Roman" w:hAnsi="Times New Roman"/>
          <w:color w:val="000000"/>
          <w:w w:val="103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Correa</w:t>
      </w:r>
      <w:proofErr w:type="gram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,  C</w:t>
      </w:r>
      <w:proofErr w:type="gram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., 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ab/>
      </w:r>
      <w:r w:rsidRPr="00B56D34">
        <w:rPr>
          <w:rFonts w:ascii="Arial" w:hAnsi="Arial" w:cs="Arial"/>
          <w:color w:val="000000"/>
          <w:w w:val="103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Innovation  and  Technology  Transfer  of  Environmentally  Sound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6" w:after="0" w:line="240" w:lineRule="exact"/>
        <w:ind w:left="2945" w:right="57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Technologies: The Need to Engage in a Substantive Debate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(2013) 22 Review of European, Comparative and International Law 54.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585" w:right="56"/>
        <w:rPr>
          <w:rFonts w:ascii="Times New Roman" w:hAnsi="Times New Roman"/>
          <w:color w:val="000000"/>
          <w:spacing w:val="-3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Diaz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Anadon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, L.,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Missions-oriented RD&amp;D Institutions in Energy Between 2000 and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2010: A Comparative Analysis of China, the United Kingdom, and the United 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>States</w:t>
      </w:r>
      <w:r w:rsidRPr="00B56D34">
        <w:rPr>
          <w:rFonts w:ascii="Arial" w:hAnsi="Arial" w:cs="Arial"/>
          <w:color w:val="000000"/>
          <w:spacing w:val="-3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 xml:space="preserve"> (2012) 41 Research Policy 1742.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585" w:right="56"/>
        <w:rPr>
          <w:rFonts w:ascii="Times New Roman" w:hAnsi="Times New Roman"/>
          <w:color w:val="000000"/>
          <w:spacing w:val="1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Fitzmaurice, M. and C. </w:t>
      </w:r>
      <w:proofErr w:type="spell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Redgwell</w:t>
      </w:r>
      <w:proofErr w:type="spell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,</w:t>
      </w:r>
      <w:r w:rsidRPr="00B56D34">
        <w:rPr>
          <w:rFonts w:ascii="Arial" w:hAnsi="Arial" w:cs="Arial"/>
          <w:color w:val="000000"/>
          <w:spacing w:val="2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Environmental Non-Compliance Procedures and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International Law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(2000) 31 Netherlands Yearbook of International Law 35.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Freeman, J. and C. </w:t>
      </w:r>
      <w:proofErr w:type="spell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Kolstad</w:t>
      </w:r>
      <w:proofErr w:type="spell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 (eds.), Moving to Markets in Environmental Regulation.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Lessons from Thirty Years of Experience (Oxford University Press, 2006).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>Freestone</w:t>
      </w:r>
      <w:proofErr w:type="gramStart"/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>,  D</w:t>
      </w:r>
      <w:proofErr w:type="gramEnd"/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 xml:space="preserve">., </w:t>
      </w:r>
      <w:r w:rsidRPr="00B56D34">
        <w:rPr>
          <w:rFonts w:ascii="Arial" w:hAnsi="Arial" w:cs="Arial"/>
          <w:color w:val="000000"/>
          <w:w w:val="105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>The  World  Bank</w:t>
      </w:r>
      <w:r w:rsidRPr="00B56D34">
        <w:rPr>
          <w:rFonts w:ascii="Arial" w:hAnsi="Arial" w:cs="Arial"/>
          <w:color w:val="000000"/>
          <w:w w:val="105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 xml:space="preserve">s  Prototype  Carbon  Fund:  </w:t>
      </w:r>
      <w:proofErr w:type="spellStart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>Mobilising</w:t>
      </w:r>
      <w:proofErr w:type="spellEnd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 xml:space="preserve">  new </w:t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>Resources for Sustainable Development</w:t>
      </w:r>
      <w:r w:rsidRPr="00B56D34">
        <w:rPr>
          <w:rFonts w:ascii="Arial" w:hAnsi="Arial" w:cs="Arial"/>
          <w:color w:val="000000"/>
          <w:w w:val="104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 xml:space="preserve">, in S. </w:t>
      </w:r>
      <w:proofErr w:type="spellStart"/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>Schemmer</w:t>
      </w:r>
      <w:proofErr w:type="spellEnd"/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 xml:space="preserve">-Schulte and K.-Y. 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Tung (eds.), Liber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Amicorum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Ibrahim S. I.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Shihata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(The Hague: Kluwer, 2001), 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ab/>
        <w:t>pp. 265</w:t>
      </w:r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341.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8" w:after="0" w:line="207" w:lineRule="exact"/>
        <w:ind w:left="2765"/>
        <w:rPr>
          <w:rFonts w:ascii="Times New Roman" w:hAnsi="Times New Roman"/>
          <w:color w:val="000000"/>
          <w:spacing w:val="2"/>
          <w:sz w:val="18"/>
          <w:szCs w:val="18"/>
          <w:lang w:val="en-US"/>
        </w:rPr>
      </w:pPr>
      <w:r w:rsidRPr="00B56D34">
        <w:rPr>
          <w:rFonts w:ascii="Arial" w:hAnsi="Arial" w:cs="Arial"/>
          <w:color w:val="000000"/>
          <w:spacing w:val="2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The World Bank and Sustainable Development</w:t>
      </w:r>
      <w:r w:rsidRPr="00B56D34">
        <w:rPr>
          <w:rFonts w:ascii="Arial" w:hAnsi="Arial" w:cs="Arial"/>
          <w:color w:val="000000"/>
          <w:spacing w:val="2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, </w:t>
      </w:r>
      <w:proofErr w:type="gram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in  M</w:t>
      </w:r>
      <w:proofErr w:type="gram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. Fitzmaurice, D. Ong and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6" w:after="0" w:line="240" w:lineRule="exact"/>
        <w:ind w:left="2945" w:right="57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P. </w:t>
      </w:r>
      <w:proofErr w:type="spellStart"/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>Merkouris</w:t>
      </w:r>
      <w:proofErr w:type="spellEnd"/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 (eds.), Research Handbook on International Environmental Law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(Cheltenham: Edward Elgar, 2010), pp. 138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60.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585" w:right="56"/>
        <w:rPr>
          <w:rFonts w:ascii="Times New Roman" w:hAnsi="Times New Roman"/>
          <w:color w:val="000000"/>
          <w:spacing w:val="-2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Gündling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, L.,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Compliance Assistance in International Environmental Law: Capacity-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Building</w:t>
      </w:r>
      <w:proofErr w:type="gram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,  Transfer</w:t>
      </w:r>
      <w:proofErr w:type="gram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  of  Finance  and  Technology</w:t>
      </w:r>
      <w:r w:rsidRPr="00B56D34">
        <w:rPr>
          <w:rFonts w:ascii="Arial" w:hAnsi="Arial" w:cs="Arial"/>
          <w:color w:val="000000"/>
          <w:w w:val="102"/>
          <w:sz w:val="18"/>
          <w:szCs w:val="18"/>
          <w:lang w:val="en-US"/>
        </w:rPr>
        <w:t xml:space="preserve">’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(1996) </w:t>
      </w:r>
      <w:r w:rsidRPr="00B56D34">
        <w:rPr>
          <w:rFonts w:ascii="Times New Roman" w:hAnsi="Times New Roman"/>
          <w:color w:val="000000"/>
          <w:spacing w:val="-4"/>
          <w:sz w:val="18"/>
          <w:szCs w:val="18"/>
          <w:lang w:val="en-US"/>
        </w:rPr>
        <w:t xml:space="preserve">56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Zeitschrift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für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ausländisches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öffentliches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Recht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und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Völkerrecht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796.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sectPr w:rsidR="00A368D8" w:rsidRPr="00B56D34">
          <w:pgSz w:w="10980" w:h="15120"/>
          <w:pgMar w:top="-20" w:right="142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83" type="#_x0000_t75" style="position:absolute;left:0;text-align:left;margin-left:161pt;margin-top:1in;width:319pt;height:8pt;z-index:-9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3284" type="#_x0000_t75" style="position:absolute;left:0;text-align:left;margin-left:0;margin-top:723pt;width:32pt;height:32pt;z-index:-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3285" type="#_x0000_t75" style="position:absolute;left:0;text-align:left;margin-left:517pt;margin-top:723pt;width:32pt;height:32pt;z-index:-7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3286" type="#_x0000_t75" style="position:absolute;left:0;text-align:left;margin-left:517pt;margin-top:0;width:32pt;height:31pt;z-index:-6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87" type="#_x0000_t75" style="position:absolute;left:0;text-align:left;margin-left:0;margin-top:0;width:32pt;height:31pt;z-index:-5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>
          <v:shape id="_x0000_s3288" type="#_x0000_t75" style="position:absolute;left:0;text-align:left;margin-left:123pt;margin-top:123pt;width:303pt;height:508pt;z-index:-4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24" w:name="Pg371"/>
      <w:bookmarkEnd w:id="24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293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109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763"/>
        </w:tabs>
        <w:autoSpaceDE w:val="0"/>
        <w:autoSpaceDN w:val="0"/>
        <w:adjustRightInd w:val="0"/>
        <w:spacing w:before="97" w:after="0" w:line="218" w:lineRule="exact"/>
        <w:ind w:left="1090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  <w:t>293</w:t>
      </w:r>
      <w:r w:rsidRPr="00B56D34">
        <w:rPr>
          <w:rFonts w:ascii="Arial" w:hAnsi="Arial" w:cs="Arial"/>
          <w:color w:val="000000"/>
          <w:spacing w:val="-7"/>
          <w:w w:val="87"/>
          <w:sz w:val="19"/>
          <w:szCs w:val="19"/>
          <w:lang w:val="en-US"/>
        </w:rPr>
        <w:tab/>
      </w:r>
      <w:r w:rsidRPr="00B56D34"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  <w:t>Select bibliography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07" w:lineRule="exact"/>
        <w:ind w:left="2763"/>
        <w:rPr>
          <w:rFonts w:ascii="Arial" w:hAnsi="Arial" w:cs="Arial"/>
          <w:color w:val="000000"/>
          <w:spacing w:val="-7"/>
          <w:w w:val="88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3700"/>
        </w:tabs>
        <w:autoSpaceDE w:val="0"/>
        <w:autoSpaceDN w:val="0"/>
        <w:adjustRightInd w:val="0"/>
        <w:spacing w:before="179" w:after="0" w:line="207" w:lineRule="exact"/>
        <w:ind w:left="2763"/>
        <w:rPr>
          <w:rFonts w:ascii="Times New Roman" w:hAnsi="Times New Roman"/>
          <w:color w:val="000000"/>
          <w:w w:val="101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Handl</w:t>
      </w:r>
      <w:proofErr w:type="spellEnd"/>
      <w:proofErr w:type="gram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,  G</w:t>
      </w:r>
      <w:proofErr w:type="gram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.,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Arial" w:hAnsi="Arial" w:cs="Arial"/>
          <w:color w:val="000000"/>
          <w:w w:val="101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 xml:space="preserve">Compliance  Control  Mechanisms  and  International  Environmental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before="10" w:after="0" w:line="235" w:lineRule="exact"/>
        <w:ind w:left="2763" w:right="59" w:firstLine="358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Obligations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(1997) 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9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Tulane Journal of International and Comparative Law 29.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Impériali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, C. (ed.), </w:t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>’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effectivité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du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droit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international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>
        <w:rPr>
          <w:rFonts w:ascii="Arial" w:hAnsi="Arial" w:cs="Arial"/>
          <w:color w:val="000000"/>
          <w:spacing w:val="-1"/>
          <w:sz w:val="18"/>
          <w:szCs w:val="18"/>
        </w:rPr>
        <w:t>’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environnement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Contrôle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pacing w:val="-1"/>
          <w:sz w:val="18"/>
          <w:szCs w:val="18"/>
        </w:rPr>
        <w:t>la</w:t>
      </w:r>
      <w:proofErr w:type="spellEnd"/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br/>
      </w:r>
      <w:r>
        <w:rPr>
          <w:rFonts w:ascii="Times New Roman" w:hAnsi="Times New Roman"/>
          <w:color w:val="000000"/>
          <w:spacing w:val="-1"/>
          <w:sz w:val="18"/>
          <w:szCs w:val="18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mise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en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œ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uvre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des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conventions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internationales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(Paris: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Economica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, 1998).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br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Keller,  W., </w:t>
      </w:r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International  Technology  Diffusion</w:t>
      </w:r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’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(2004)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42  Journal  of  Economic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ab/>
        <w:t xml:space="preserve">Literature 752.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before="1" w:after="0" w:line="240" w:lineRule="exact"/>
        <w:ind w:left="2763" w:right="56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Kiss, A., D. Shelton and K. Ishibashi (eds.), Economic Globalization and Compliance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  <w:t xml:space="preserve">with International Environmental Agreements (The Hague: Kluwer, 2003).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Kohona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, P.,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UNCED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The Transfer of Financial Resources to Developing Countries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 xml:space="preserve">’ 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>(1992)</w:t>
      </w:r>
      <w:proofErr w:type="gramStart"/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>1</w:t>
      </w:r>
      <w:proofErr w:type="gramEnd"/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 xml:space="preserve"> Review of European Community and International Environmental Law 307.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Koskenniemi</w:t>
      </w:r>
      <w:proofErr w:type="spellEnd"/>
      <w:proofErr w:type="gram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,  M</w:t>
      </w:r>
      <w:proofErr w:type="gram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., </w:t>
      </w:r>
      <w:r w:rsidRPr="00B56D34">
        <w:rPr>
          <w:rFonts w:ascii="Arial" w:hAnsi="Arial" w:cs="Arial"/>
          <w:color w:val="000000"/>
          <w:w w:val="103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Breach  of  Treaty  or  Non-Compliance?  </w:t>
      </w:r>
      <w:proofErr w:type="gramStart"/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>Re</w:t>
      </w:r>
      <w:r w:rsidRPr="00B56D34">
        <w:rPr>
          <w:rFonts w:ascii="Arial" w:hAnsi="Arial" w:cs="Arial"/>
          <w:color w:val="000000"/>
          <w:w w:val="103"/>
          <w:sz w:val="18"/>
          <w:szCs w:val="18"/>
          <w:lang w:val="en-US"/>
        </w:rPr>
        <w:t>fl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>ections  on</w:t>
      </w:r>
      <w:proofErr w:type="gramEnd"/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  the 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ab/>
        <w:t>Enforcement  of the Montreal  Protocol</w:t>
      </w:r>
      <w:r w:rsidRPr="00B56D34">
        <w:rPr>
          <w:rFonts w:ascii="Arial" w:hAnsi="Arial" w:cs="Arial"/>
          <w:color w:val="000000"/>
          <w:w w:val="103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 (1992) 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 xml:space="preserve">3 Yearbook of International 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Environmental Law 123.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after="0" w:line="240" w:lineRule="exact"/>
        <w:ind w:left="2763" w:right="59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>Langer, M.-J.,</w:t>
      </w:r>
      <w:r w:rsidRPr="00B56D34">
        <w:rPr>
          <w:rFonts w:ascii="Arial" w:hAnsi="Arial" w:cs="Arial"/>
          <w:color w:val="000000"/>
          <w:w w:val="103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Key Instruments of Private Environmental Finance: Funds, Project 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>Finance and Market Mechanisms</w:t>
      </w:r>
      <w:r w:rsidRPr="00B56D34">
        <w:rPr>
          <w:rFonts w:ascii="Arial" w:hAnsi="Arial" w:cs="Arial"/>
          <w:color w:val="000000"/>
          <w:w w:val="105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 xml:space="preserve">, in P.-M. </w:t>
      </w:r>
      <w:proofErr w:type="spellStart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>Dupuy</w:t>
      </w:r>
      <w:proofErr w:type="spellEnd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 xml:space="preserve"> and J. E. Viñuales (eds.), </w:t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Harnessing Foreign Investment to Promote Environmental 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Protection: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Incentives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  <w:t>and Safeguards (Cambridge University Press, 2013), pp. 131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75.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after="0" w:line="240" w:lineRule="exact"/>
        <w:ind w:left="2763" w:right="58"/>
        <w:rPr>
          <w:rFonts w:ascii="Times New Roman" w:hAnsi="Times New Roman"/>
          <w:color w:val="000000"/>
          <w:spacing w:val="-2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Lawrence, P.,</w:t>
      </w:r>
      <w:r w:rsidRPr="00B56D34">
        <w:rPr>
          <w:rFonts w:ascii="Arial" w:hAnsi="Arial" w:cs="Arial"/>
          <w:color w:val="000000"/>
          <w:spacing w:val="2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Technology Transfer Funds and the Law: Recent Amendments to the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Montreal Protocol on Substances that Deplete the Ozone Layer</w:t>
      </w:r>
      <w:r w:rsidRPr="00B56D34">
        <w:rPr>
          <w:rFonts w:ascii="Arial" w:hAnsi="Arial" w:cs="Arial"/>
          <w:color w:val="000000"/>
          <w:spacing w:val="-2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(1992) </w:t>
      </w:r>
      <w:proofErr w:type="gram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4</w:t>
      </w:r>
      <w:proofErr w:type="gram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Journal of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ab/>
        <w:t xml:space="preserve">Environmental Law 15.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before="4" w:after="0" w:line="236" w:lineRule="exact"/>
        <w:ind w:left="2763" w:right="59"/>
        <w:rPr>
          <w:rFonts w:ascii="Times New Roman" w:hAnsi="Times New Roman"/>
          <w:color w:val="000000"/>
          <w:spacing w:val="-5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Maljean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-Dubois, S.,</w:t>
      </w:r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‘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Mécanismes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internationaux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de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suivi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et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mise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en</w:t>
      </w:r>
      <w:proofErr w:type="spellEnd"/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>œ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uvre</w:t>
      </w:r>
      <w:proofErr w:type="spell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des con-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ab/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ventions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internationales</w:t>
      </w:r>
      <w:proofErr w:type="spell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de protection de </w:t>
      </w:r>
      <w:proofErr w:type="spell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l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environnement</w:t>
      </w:r>
      <w:proofErr w:type="spellEnd"/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(2004) 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9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Analyses 1. </w:t>
      </w:r>
      <w:proofErr w:type="spell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Maskus</w:t>
      </w:r>
      <w:proofErr w:type="spell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, K. E.,</w:t>
      </w:r>
      <w:r w:rsidRPr="00B56D34">
        <w:rPr>
          <w:rFonts w:ascii="Arial" w:hAnsi="Arial" w:cs="Arial"/>
          <w:color w:val="000000"/>
          <w:spacing w:val="2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Differentiated Intellectual Property Regimes for Environmental and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Climate Technologies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, OECD Environment Working Papers, No. 17 (2010).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  <w:t>Miller</w:t>
      </w:r>
      <w:proofErr w:type="gram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,  A</w:t>
      </w:r>
      <w:proofErr w:type="gram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.  S., </w:t>
      </w:r>
      <w:proofErr w:type="gramStart"/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The  Global</w:t>
      </w:r>
      <w:proofErr w:type="gram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  Environmental  Facility  and  the  Search  for  Financial 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>Strategies to Foster Sustainable Development</w:t>
      </w:r>
      <w:r w:rsidRPr="00B56D34">
        <w:rPr>
          <w:rFonts w:ascii="Arial" w:hAnsi="Arial" w:cs="Arial"/>
          <w:color w:val="000000"/>
          <w:w w:val="104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 xml:space="preserve"> (1999</w:t>
      </w:r>
      <w:r w:rsidRPr="00B56D34">
        <w:rPr>
          <w:rFonts w:ascii="Arial" w:hAnsi="Arial" w:cs="Arial"/>
          <w:color w:val="000000"/>
          <w:w w:val="104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 xml:space="preserve">2000) 24 Vermont Law 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Review 1229.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before="1" w:after="0" w:line="240" w:lineRule="exact"/>
        <w:ind w:left="2763" w:right="59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Monk, A. H. B.,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 xml:space="preserve"> ‘</w:t>
      </w:r>
      <w:proofErr w:type="gramStart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The</w:t>
      </w:r>
      <w:proofErr w:type="gramEnd"/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 Emerging Market for Intellectual Property: Drivers, Restrainers,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and Implications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(2009) 9 Journal of Economic Geography 469.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after="0" w:line="240" w:lineRule="exact"/>
        <w:ind w:left="2763" w:right="58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Nanda, N.,</w:t>
      </w:r>
      <w:r w:rsidRPr="00B56D34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Diffusion of Climate Friendly Technologies: Can Compulsory Licensing 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Help?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(2009) 14 Journal of Intellectual Property Rights 241. </w:t>
      </w:r>
    </w:p>
    <w:p w:rsidR="00A368D8" w:rsidRPr="00B56D34" w:rsidRDefault="00BB3753">
      <w:pPr>
        <w:widowControl w:val="0"/>
        <w:tabs>
          <w:tab w:val="left" w:pos="4245"/>
        </w:tabs>
        <w:autoSpaceDE w:val="0"/>
        <w:autoSpaceDN w:val="0"/>
        <w:adjustRightInd w:val="0"/>
        <w:spacing w:before="28" w:after="0" w:line="207" w:lineRule="exact"/>
        <w:ind w:left="2763"/>
        <w:rPr>
          <w:rFonts w:ascii="Times New Roman" w:hAnsi="Times New Roman"/>
          <w:color w:val="000000"/>
          <w:w w:val="104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Nollkaemper</w:t>
      </w:r>
      <w:proofErr w:type="spellEnd"/>
      <w:proofErr w:type="gram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,  A</w:t>
      </w:r>
      <w:proofErr w:type="gram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.,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Arial" w:hAnsi="Arial" w:cs="Arial"/>
          <w:color w:val="000000"/>
          <w:w w:val="104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 xml:space="preserve">Compliance  Control  in  International  Environmental  Law: </w:t>
      </w:r>
    </w:p>
    <w:p w:rsidR="00A368D8" w:rsidRPr="00B56D34" w:rsidRDefault="00BB3753">
      <w:pPr>
        <w:widowControl w:val="0"/>
        <w:tabs>
          <w:tab w:val="left" w:pos="7235"/>
          <w:tab w:val="left" w:pos="7802"/>
        </w:tabs>
        <w:autoSpaceDE w:val="0"/>
        <w:autoSpaceDN w:val="0"/>
        <w:adjustRightInd w:val="0"/>
        <w:spacing w:before="6" w:after="0" w:line="240" w:lineRule="exact"/>
        <w:ind w:left="3122" w:right="59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w w:val="107"/>
          <w:sz w:val="18"/>
          <w:szCs w:val="18"/>
          <w:lang w:val="en-US"/>
        </w:rPr>
        <w:t>Traversing the Limits of the National Legal Order</w:t>
      </w:r>
      <w:r w:rsidRPr="00B56D34">
        <w:rPr>
          <w:rFonts w:ascii="Arial" w:hAnsi="Arial" w:cs="Arial"/>
          <w:color w:val="000000"/>
          <w:w w:val="107"/>
          <w:sz w:val="18"/>
          <w:szCs w:val="18"/>
          <w:lang w:val="en-US"/>
        </w:rPr>
        <w:t xml:space="preserve">’ </w:t>
      </w:r>
      <w:r w:rsidRPr="00B56D34">
        <w:rPr>
          <w:rFonts w:ascii="Arial" w:hAnsi="Arial" w:cs="Arial"/>
          <w:color w:val="000000"/>
          <w:w w:val="107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(2002)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 xml:space="preserve">13 Yearbook of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International Environmental Law 165. </w:t>
      </w:r>
    </w:p>
    <w:p w:rsidR="00A368D8" w:rsidRPr="00B56D34" w:rsidRDefault="00BB3753">
      <w:pPr>
        <w:widowControl w:val="0"/>
        <w:tabs>
          <w:tab w:val="left" w:pos="4215"/>
        </w:tabs>
        <w:autoSpaceDE w:val="0"/>
        <w:autoSpaceDN w:val="0"/>
        <w:adjustRightInd w:val="0"/>
        <w:spacing w:before="28" w:after="0" w:line="207" w:lineRule="exact"/>
        <w:ind w:left="2763"/>
        <w:rPr>
          <w:rFonts w:ascii="Times New Roman" w:hAnsi="Times New Roman"/>
          <w:color w:val="000000"/>
          <w:w w:val="104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Ponce-Nava</w:t>
      </w:r>
      <w:proofErr w:type="gram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,  D</w:t>
      </w:r>
      <w:proofErr w:type="gram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., 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ab/>
      </w:r>
      <w:r w:rsidRPr="00B56D34">
        <w:rPr>
          <w:rFonts w:ascii="Arial" w:hAnsi="Arial" w:cs="Arial"/>
          <w:color w:val="000000"/>
          <w:w w:val="104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4"/>
          <w:sz w:val="18"/>
          <w:szCs w:val="18"/>
          <w:lang w:val="en-US"/>
        </w:rPr>
        <w:t xml:space="preserve">Capacity-Building  in  Environmental  Law  and  Sustainable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6" w:after="0" w:line="240" w:lineRule="exact"/>
        <w:ind w:left="3122" w:right="58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Development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, in W. Lang (ed.), Sustainable Development and International Law (London: Springer, 1995), pp. 131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6.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after="0" w:line="240" w:lineRule="exact"/>
        <w:ind w:left="2763" w:right="59"/>
        <w:rPr>
          <w:rFonts w:ascii="Times New Roman" w:hAnsi="Times New Roman"/>
          <w:color w:val="000000"/>
          <w:spacing w:val="-3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 xml:space="preserve">Richardson, B. J., Socially Responsible Investment Law: Regulating the Unseen Polluters </w:t>
      </w:r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3"/>
          <w:sz w:val="18"/>
          <w:szCs w:val="18"/>
          <w:lang w:val="en-US"/>
        </w:rPr>
        <w:tab/>
        <w:t xml:space="preserve">(Oxford University Press, 2008).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after="0" w:line="240" w:lineRule="exact"/>
        <w:ind w:left="2763" w:right="59"/>
        <w:rPr>
          <w:rFonts w:ascii="Times New Roman" w:hAnsi="Times New Roman"/>
          <w:color w:val="000000"/>
          <w:spacing w:val="-2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Romanin</w:t>
      </w:r>
      <w:proofErr w:type="spell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  </w:t>
      </w:r>
      <w:proofErr w:type="spellStart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Jacur</w:t>
      </w:r>
      <w:proofErr w:type="spellEnd"/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,  F.,  The  Dynamics  of  Multilateral  Environmental  Agreements. 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ab/>
      </w:r>
      <w:proofErr w:type="gramStart"/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>Institutional  Architectures</w:t>
      </w:r>
      <w:proofErr w:type="gramEnd"/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 xml:space="preserve">  and  Law-Making  Processes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(Naples:  </w:t>
      </w:r>
      <w:proofErr w:type="spellStart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>Editoriale</w:t>
      </w:r>
      <w:proofErr w:type="spellEnd"/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Scienti</w:t>
      </w:r>
      <w:r w:rsidRPr="00B56D34">
        <w:rPr>
          <w:rFonts w:ascii="Arial" w:hAnsi="Arial" w:cs="Arial"/>
          <w:color w:val="000000"/>
          <w:spacing w:val="-2"/>
          <w:sz w:val="18"/>
          <w:szCs w:val="18"/>
          <w:lang w:val="en-US"/>
        </w:rPr>
        <w:t>fi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ca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, 2013). </w:t>
      </w:r>
    </w:p>
    <w:p w:rsidR="00A368D8" w:rsidRPr="00B56D34" w:rsidRDefault="00BB3753">
      <w:pPr>
        <w:widowControl w:val="0"/>
        <w:tabs>
          <w:tab w:val="left" w:pos="5310"/>
        </w:tabs>
        <w:autoSpaceDE w:val="0"/>
        <w:autoSpaceDN w:val="0"/>
        <w:adjustRightInd w:val="0"/>
        <w:spacing w:before="28" w:after="0" w:line="207" w:lineRule="exact"/>
        <w:ind w:left="2763"/>
        <w:rPr>
          <w:rFonts w:ascii="Times New Roman" w:hAnsi="Times New Roman"/>
          <w:color w:val="000000"/>
          <w:w w:val="107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>Schalatek</w:t>
      </w:r>
      <w:proofErr w:type="spellEnd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 xml:space="preserve">, L. and S. </w:t>
      </w:r>
      <w:proofErr w:type="spellStart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>Nakhooda</w:t>
      </w:r>
      <w:proofErr w:type="spellEnd"/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 xml:space="preserve">, </w:t>
      </w:r>
      <w:r w:rsidRPr="00B56D34">
        <w:rPr>
          <w:rFonts w:ascii="Times New Roman" w:hAnsi="Times New Roman"/>
          <w:color w:val="000000"/>
          <w:w w:val="105"/>
          <w:sz w:val="18"/>
          <w:szCs w:val="18"/>
          <w:lang w:val="en-US"/>
        </w:rPr>
        <w:tab/>
      </w:r>
      <w:r w:rsidRPr="00B56D34">
        <w:rPr>
          <w:rFonts w:ascii="Arial" w:hAnsi="Arial" w:cs="Arial"/>
          <w:color w:val="000000"/>
          <w:w w:val="107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7"/>
          <w:sz w:val="18"/>
          <w:szCs w:val="18"/>
          <w:lang w:val="en-US"/>
        </w:rPr>
        <w:t>The Green Climate Fund</w:t>
      </w:r>
      <w:r w:rsidRPr="00B56D34">
        <w:rPr>
          <w:rFonts w:ascii="Arial" w:hAnsi="Arial" w:cs="Arial"/>
          <w:color w:val="000000"/>
          <w:w w:val="107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7"/>
          <w:sz w:val="18"/>
          <w:szCs w:val="18"/>
          <w:lang w:val="en-US"/>
        </w:rPr>
        <w:t xml:space="preserve">, in Climate Finance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33" w:after="0" w:line="207" w:lineRule="exact"/>
        <w:ind w:left="3122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Fundamentals, No. 11, November 2012. </w:t>
      </w:r>
    </w:p>
    <w:p w:rsidR="00A368D8" w:rsidRPr="00B56D34" w:rsidRDefault="00BB3753">
      <w:pPr>
        <w:widowControl w:val="0"/>
        <w:tabs>
          <w:tab w:val="left" w:pos="3122"/>
        </w:tabs>
        <w:autoSpaceDE w:val="0"/>
        <w:autoSpaceDN w:val="0"/>
        <w:adjustRightInd w:val="0"/>
        <w:spacing w:before="6" w:after="0" w:line="240" w:lineRule="exact"/>
        <w:ind w:left="2763" w:right="58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Steenblink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, R. and J. A. Kim,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Facilitating Trade in Selected Climate Change Mitigation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ab/>
        <w:t>Technologies in the Energy Supply, Buildings, and Industry Sectors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, OECD Trade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ab/>
        <w:t>and Environment Working Paper, No. 2009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02 (4 May 2009).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sectPr w:rsidR="00A368D8" w:rsidRPr="00B56D34">
          <w:pgSz w:w="10980" w:h="15120"/>
          <w:pgMar w:top="-20" w:right="1244" w:bottom="-20" w:left="552" w:header="720" w:footer="720" w:gutter="0"/>
          <w:cols w:space="720"/>
          <w:noEndnote/>
        </w:sectPr>
      </w:pPr>
    </w:p>
    <w:p w:rsidR="00A368D8" w:rsidRPr="00B56D34" w:rsidRDefault="00942547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r>
        <w:rPr>
          <w:noProof/>
        </w:rPr>
        <w:lastRenderedPageBreak/>
        <w:pict>
          <v:shape id="_x0000_s3289" type="#_x0000_t75" style="position:absolute;left:0;text-align:left;margin-left:152pt;margin-top:1in;width:319pt;height:8pt;z-index:-3;mso-position-horizontal-relative:page;mso-position-vertical-relative:page" o:allowincell="f">
            <v:imagedata r:id="rId11" o:title=""/>
            <w10:wrap anchorx="page" anchory="page"/>
          </v:shape>
        </w:pict>
      </w:r>
      <w:r>
        <w:rPr>
          <w:noProof/>
        </w:rPr>
        <w:pict>
          <v:shape id="_x0000_s3292" type="#_x0000_t75" style="position:absolute;left:0;text-align:left;margin-left:517pt;margin-top:0;width:32pt;height:31pt;z-index:-2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</w:rPr>
        <w:pict>
          <v:shape id="_x0000_s3293" type="#_x0000_t75" style="position:absolute;left:0;text-align:left;margin-left:0;margin-top:0;width:32pt;height:31pt;z-index:-1;mso-position-horizontal-relative:page;mso-position-vertical-relative:page" o:allowincell="f">
            <v:imagedata r:id="rId9" o:title=""/>
            <w10:wrap anchorx="page" anchory="page"/>
          </v:shape>
        </w:pict>
      </w:r>
      <w:bookmarkStart w:id="25" w:name="Pg372"/>
      <w:bookmarkEnd w:id="25"/>
      <w:r w:rsidR="00BB3753" w:rsidRPr="00B56D34">
        <w:rPr>
          <w:rFonts w:ascii="Arial" w:hAnsi="Arial" w:cs="Arial"/>
          <w:color w:val="000000"/>
          <w:spacing w:val="-8"/>
          <w:w w:val="97"/>
          <w:sz w:val="9"/>
          <w:szCs w:val="9"/>
          <w:lang w:val="en-US"/>
        </w:rPr>
        <w:t>C:/ITOOLS/WMS/CUP-NEW/5963894/WORKINGFOLDER/DUPUY/</w:t>
      </w:r>
      <w:proofErr w:type="gramStart"/>
      <w:r w:rsidR="00BB3753" w:rsidRPr="00B56D34">
        <w:rPr>
          <w:rFonts w:ascii="Times New Roman" w:hAnsi="Times New Roman"/>
          <w:color w:val="000000"/>
          <w:spacing w:val="-8"/>
          <w:w w:val="97"/>
          <w:sz w:val="9"/>
          <w:szCs w:val="9"/>
          <w:lang w:val="en-US"/>
        </w:rPr>
        <w:t>9781107041240C09.3D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 294</w:t>
      </w:r>
      <w:proofErr w:type="gramEnd"/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 xml:space="preserve"> </w:t>
      </w:r>
      <w:r w:rsidR="00BB3753" w:rsidRPr="00B56D34">
        <w:rPr>
          <w:rFonts w:ascii="Times New Roman" w:hAnsi="Times New Roman"/>
          <w:color w:val="000000"/>
          <w:spacing w:val="-8"/>
          <w:w w:val="97"/>
          <w:sz w:val="20"/>
          <w:szCs w:val="20"/>
          <w:lang w:val="en-US"/>
        </w:rPr>
        <w:tab/>
      </w:r>
      <w:r w:rsidR="00BB3753" w:rsidRPr="00B56D34">
        <w:rPr>
          <w:rFonts w:ascii="Arial" w:hAnsi="Arial" w:cs="Arial"/>
          <w:color w:val="000000"/>
          <w:spacing w:val="-7"/>
          <w:sz w:val="9"/>
          <w:szCs w:val="9"/>
          <w:lang w:val="en-US"/>
        </w:rPr>
        <w:t xml:space="preserve">[270-294] 24.2.2015 3:45PM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18" w:lineRule="exact"/>
        <w:ind w:left="912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B3753">
      <w:pPr>
        <w:widowControl w:val="0"/>
        <w:tabs>
          <w:tab w:val="left" w:pos="2585"/>
        </w:tabs>
        <w:autoSpaceDE w:val="0"/>
        <w:autoSpaceDN w:val="0"/>
        <w:adjustRightInd w:val="0"/>
        <w:spacing w:before="97" w:after="0" w:line="218" w:lineRule="exact"/>
        <w:ind w:left="912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>294</w:t>
      </w:r>
      <w:r w:rsidRPr="00B56D34"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  <w:tab/>
        <w:t>New approaches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36" w:lineRule="exact"/>
        <w:ind w:left="2585"/>
        <w:rPr>
          <w:rFonts w:ascii="Arial" w:hAnsi="Arial" w:cs="Arial"/>
          <w:color w:val="000000"/>
          <w:spacing w:val="-7"/>
          <w:w w:val="85"/>
          <w:sz w:val="19"/>
          <w:szCs w:val="19"/>
          <w:lang w:val="en-US"/>
        </w:rPr>
      </w:pP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before="126" w:after="0" w:line="236" w:lineRule="exact"/>
        <w:ind w:left="2585" w:right="56"/>
        <w:rPr>
          <w:rFonts w:ascii="Times New Roman" w:hAnsi="Times New Roman"/>
          <w:color w:val="000000"/>
          <w:spacing w:val="-2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>Streck</w:t>
      </w:r>
      <w:proofErr w:type="spellEnd"/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>, C.,</w:t>
      </w:r>
      <w:r w:rsidRPr="00B56D34">
        <w:rPr>
          <w:rFonts w:ascii="Arial" w:hAnsi="Arial" w:cs="Arial"/>
          <w:color w:val="000000"/>
          <w:w w:val="106"/>
          <w:sz w:val="18"/>
          <w:szCs w:val="18"/>
          <w:lang w:val="en-US"/>
        </w:rPr>
        <w:t xml:space="preserve"> ‘</w:t>
      </w:r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>The Global Environmental Facility</w:t>
      </w:r>
      <w:r w:rsidRPr="00B56D34">
        <w:rPr>
          <w:rFonts w:ascii="Arial" w:hAnsi="Arial" w:cs="Arial"/>
          <w:color w:val="000000"/>
          <w:w w:val="106"/>
          <w:sz w:val="18"/>
          <w:szCs w:val="18"/>
          <w:lang w:val="en-US"/>
        </w:rPr>
        <w:t xml:space="preserve"> -</w:t>
      </w:r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 xml:space="preserve"> A Role Model for International </w:t>
      </w:r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Environmental Governance?</w:t>
      </w:r>
      <w:r w:rsidRPr="00B56D34">
        <w:rPr>
          <w:rFonts w:ascii="Arial" w:hAnsi="Arial" w:cs="Arial"/>
          <w:color w:val="000000"/>
          <w:spacing w:val="-1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(2001) </w:t>
      </w:r>
      <w:proofErr w:type="gram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1</w:t>
      </w:r>
      <w:proofErr w:type="gram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Global Environmental Politics 71.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  <w:t xml:space="preserve">Treves, T., L.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Pineschi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, A.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Tanzi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, C.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Pitea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, C.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Ragni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and F.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Romanin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Jacur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(eds.), Non-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 xml:space="preserve">Compliance Procedures and Mechanisms and the Effectiveness of International </w:t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2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Environmental Agreements (The Hague: TMC Asser Press, 2009).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Ulfstein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, G. and T. </w:t>
      </w:r>
      <w:proofErr w:type="spellStart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>Marauhn</w:t>
      </w:r>
      <w:proofErr w:type="spellEnd"/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 (eds.), Making Treaties Work: Human Rights, Environment </w:t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ab/>
        <w:t xml:space="preserve">and Arms Control (Cambridge University Press, 2007).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before="1" w:after="0" w:line="240" w:lineRule="exact"/>
        <w:ind w:left="2585" w:right="56"/>
        <w:rPr>
          <w:rFonts w:ascii="Times New Roman" w:hAnsi="Times New Roman"/>
          <w:color w:val="000000"/>
          <w:spacing w:val="-2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 xml:space="preserve">United   Nations   Environment   </w:t>
      </w:r>
      <w:proofErr w:type="spellStart"/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>Programme</w:t>
      </w:r>
      <w:proofErr w:type="spellEnd"/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 xml:space="preserve">,   Manual   on   Compliance   with </w:t>
      </w:r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w w:val="106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w w:val="101"/>
          <w:sz w:val="18"/>
          <w:szCs w:val="18"/>
          <w:lang w:val="en-US"/>
        </w:rPr>
        <w:t xml:space="preserve">and   Enforcement   of   Multilateral   Environmental   Agreements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(Nairobi: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ab/>
      </w:r>
      <w:r w:rsidRPr="00B56D34">
        <w:rPr>
          <w:rFonts w:ascii="Times New Roman" w:hAnsi="Times New Roman"/>
          <w:color w:val="000000"/>
          <w:spacing w:val="-2"/>
          <w:sz w:val="18"/>
          <w:szCs w:val="18"/>
          <w:lang w:val="en-US"/>
        </w:rPr>
        <w:t xml:space="preserve">UNEP, 2006). </w:t>
      </w:r>
    </w:p>
    <w:p w:rsidR="00A368D8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585" w:right="57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Urbinati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S.,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mécanismes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contrôle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et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suivi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conventions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internationales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protection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Times New Roman" w:hAnsi="Times New Roman"/>
          <w:color w:val="000000"/>
          <w:sz w:val="18"/>
          <w:szCs w:val="18"/>
        </w:rPr>
        <w:t>environnement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(Milan: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Giuffrè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2009). </w:t>
      </w:r>
    </w:p>
    <w:p w:rsidR="00A368D8" w:rsidRPr="00B56D34" w:rsidRDefault="00BB3753">
      <w:pPr>
        <w:widowControl w:val="0"/>
        <w:tabs>
          <w:tab w:val="left" w:pos="3911"/>
        </w:tabs>
        <w:autoSpaceDE w:val="0"/>
        <w:autoSpaceDN w:val="0"/>
        <w:adjustRightInd w:val="0"/>
        <w:spacing w:before="28" w:after="0" w:line="207" w:lineRule="exact"/>
        <w:ind w:left="2585"/>
        <w:rPr>
          <w:rFonts w:ascii="Times New Roman" w:hAnsi="Times New Roman"/>
          <w:color w:val="000000"/>
          <w:w w:val="103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Viñuales</w:t>
      </w:r>
      <w:proofErr w:type="gramStart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>,  J</w:t>
      </w:r>
      <w:proofErr w:type="gramEnd"/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 xml:space="preserve">.  E., </w:t>
      </w:r>
      <w:r w:rsidRPr="00B56D34">
        <w:rPr>
          <w:rFonts w:ascii="Times New Roman" w:hAnsi="Times New Roman"/>
          <w:color w:val="000000"/>
          <w:spacing w:val="1"/>
          <w:sz w:val="18"/>
          <w:szCs w:val="18"/>
          <w:lang w:val="en-US"/>
        </w:rPr>
        <w:tab/>
      </w:r>
      <w:proofErr w:type="gramStart"/>
      <w:r w:rsidRPr="00B56D34">
        <w:rPr>
          <w:rFonts w:ascii="Arial" w:hAnsi="Arial" w:cs="Arial"/>
          <w:color w:val="000000"/>
          <w:w w:val="103"/>
          <w:sz w:val="18"/>
          <w:szCs w:val="18"/>
          <w:lang w:val="en-US"/>
        </w:rPr>
        <w:t>‘</w:t>
      </w:r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>Managing  Abidance</w:t>
      </w:r>
      <w:proofErr w:type="gramEnd"/>
      <w:r w:rsidRPr="00B56D34">
        <w:rPr>
          <w:rFonts w:ascii="Times New Roman" w:hAnsi="Times New Roman"/>
          <w:color w:val="000000"/>
          <w:w w:val="103"/>
          <w:sz w:val="18"/>
          <w:szCs w:val="18"/>
          <w:lang w:val="en-US"/>
        </w:rPr>
        <w:t xml:space="preserve">  by  Standards  for  the  Protection  of  the </w:t>
      </w:r>
    </w:p>
    <w:p w:rsidR="00A368D8" w:rsidRPr="00B56D34" w:rsidRDefault="00BB3753">
      <w:pPr>
        <w:widowControl w:val="0"/>
        <w:autoSpaceDE w:val="0"/>
        <w:autoSpaceDN w:val="0"/>
        <w:adjustRightInd w:val="0"/>
        <w:spacing w:before="6" w:after="0" w:line="240" w:lineRule="exact"/>
        <w:ind w:left="2945" w:right="57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>Environment</w:t>
      </w:r>
      <w:r w:rsidRPr="00B56D34">
        <w:rPr>
          <w:rFonts w:ascii="Arial" w:hAnsi="Arial" w:cs="Arial"/>
          <w:color w:val="000000"/>
          <w:w w:val="102"/>
          <w:sz w:val="18"/>
          <w:szCs w:val="18"/>
          <w:lang w:val="en-US"/>
        </w:rPr>
        <w:t>’</w:t>
      </w:r>
      <w:r w:rsidRPr="00B56D34">
        <w:rPr>
          <w:rFonts w:ascii="Times New Roman" w:hAnsi="Times New Roman"/>
          <w:color w:val="000000"/>
          <w:w w:val="102"/>
          <w:sz w:val="18"/>
          <w:szCs w:val="18"/>
          <w:lang w:val="en-US"/>
        </w:rPr>
        <w:t xml:space="preserve">, in A. Cassese (ed.), Realizing Utopia (Oxford University Press, 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>2012), pp. 326</w:t>
      </w:r>
      <w:r w:rsidRPr="00B56D34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B56D34">
        <w:rPr>
          <w:rFonts w:ascii="Times New Roman" w:hAnsi="Times New Roman"/>
          <w:color w:val="000000"/>
          <w:sz w:val="18"/>
          <w:szCs w:val="18"/>
          <w:lang w:val="en-US"/>
        </w:rPr>
        <w:t xml:space="preserve">39. </w:t>
      </w:r>
    </w:p>
    <w:p w:rsidR="00A368D8" w:rsidRPr="00B56D34" w:rsidRDefault="00BB3753">
      <w:pPr>
        <w:widowControl w:val="0"/>
        <w:tabs>
          <w:tab w:val="left" w:pos="2945"/>
        </w:tabs>
        <w:autoSpaceDE w:val="0"/>
        <w:autoSpaceDN w:val="0"/>
        <w:adjustRightInd w:val="0"/>
        <w:spacing w:after="0" w:line="240" w:lineRule="exact"/>
        <w:ind w:left="2585" w:right="56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</w:pP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Wolfrum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, R., P. T. Stoll and U.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Beyerlin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(eds.), Ensuring Compliance with Multilateral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ab/>
        <w:t xml:space="preserve">Environmental Agreements. A Dialogue between Practitioners and Academia (The </w:t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br/>
      </w:r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ab/>
        <w:t xml:space="preserve">Hague: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Martinus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>Nijhoff</w:t>
      </w:r>
      <w:proofErr w:type="spellEnd"/>
      <w:r w:rsidRPr="00B56D34"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t xml:space="preserve">, 2006).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  <w:lang w:val="en-US"/>
        </w:rPr>
        <w:sectPr w:rsidR="00A368D8" w:rsidRPr="00B56D34">
          <w:pgSz w:w="10980" w:h="15120"/>
          <w:pgMar w:top="-20" w:right="1423" w:bottom="-20" w:left="552" w:header="720" w:footer="720" w:gutter="0"/>
          <w:cols w:space="720"/>
          <w:noEndnote/>
        </w:sectPr>
      </w:pPr>
    </w:p>
    <w:p w:rsidR="00A368D8" w:rsidRPr="00B56D34" w:rsidRDefault="006D43CA">
      <w:pPr>
        <w:widowControl w:val="0"/>
        <w:tabs>
          <w:tab w:val="left" w:pos="3542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  <w:bookmarkStart w:id="26" w:name="Pg373"/>
      <w:bookmarkEnd w:id="26"/>
      <w:r>
        <w:rPr>
          <w:noProof/>
        </w:rPr>
        <w:lastRenderedPageBreak/>
        <w:t xml:space="preserve"> </w:t>
      </w: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368" w:lineRule="exact"/>
        <w:ind w:left="2763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368" w:lineRule="exact"/>
        <w:ind w:left="2763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368" w:lineRule="exact"/>
        <w:ind w:left="2763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A368D8">
      <w:pPr>
        <w:widowControl w:val="0"/>
        <w:autoSpaceDE w:val="0"/>
        <w:autoSpaceDN w:val="0"/>
        <w:adjustRightInd w:val="0"/>
        <w:spacing w:after="0" w:line="368" w:lineRule="exact"/>
        <w:ind w:left="2763"/>
        <w:rPr>
          <w:rFonts w:ascii="Arial" w:hAnsi="Arial" w:cs="Arial"/>
          <w:color w:val="000000"/>
          <w:spacing w:val="-7"/>
          <w:sz w:val="9"/>
          <w:szCs w:val="9"/>
          <w:lang w:val="en-US"/>
        </w:rPr>
      </w:pPr>
    </w:p>
    <w:p w:rsidR="00A368D8" w:rsidRPr="00B56D34" w:rsidRDefault="00B56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w w:val="81"/>
          <w:sz w:val="40"/>
          <w:szCs w:val="40"/>
          <w:lang w:val="en-US"/>
        </w:rPr>
        <w:sectPr w:rsidR="00A368D8" w:rsidRPr="00B56D34">
          <w:pgSz w:w="10980" w:h="15120"/>
          <w:pgMar w:top="-20" w:right="1440" w:bottom="-20" w:left="552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w w:val="82"/>
          <w:sz w:val="32"/>
          <w:szCs w:val="32"/>
          <w:lang w:val="en-US"/>
        </w:rPr>
        <w:t xml:space="preserve"> </w:t>
      </w:r>
    </w:p>
    <w:p w:rsidR="00B56D34" w:rsidRDefault="00B56D34" w:rsidP="00B56D34">
      <w:pPr>
        <w:widowControl w:val="0"/>
        <w:tabs>
          <w:tab w:val="left" w:pos="3446"/>
        </w:tabs>
        <w:autoSpaceDE w:val="0"/>
        <w:autoSpaceDN w:val="0"/>
        <w:adjustRightInd w:val="0"/>
        <w:spacing w:before="1" w:after="0" w:line="217" w:lineRule="exact"/>
        <w:ind w:left="20"/>
        <w:rPr>
          <w:rFonts w:ascii="Times New Roman" w:hAnsi="Times New Roman"/>
          <w:color w:val="000000"/>
          <w:spacing w:val="2"/>
          <w:sz w:val="20"/>
          <w:szCs w:val="20"/>
        </w:rPr>
      </w:pPr>
      <w:bookmarkStart w:id="27" w:name="Pg375"/>
      <w:bookmarkEnd w:id="27"/>
    </w:p>
    <w:sectPr w:rsidR="00B56D34" w:rsidSect="00B56D34">
      <w:pgSz w:w="10980" w:h="15120"/>
      <w:pgMar w:top="-20" w:right="1423" w:bottom="-20" w:left="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753"/>
    <w:rsid w:val="005061E9"/>
    <w:rsid w:val="006D43CA"/>
    <w:rsid w:val="00786F1F"/>
    <w:rsid w:val="00942547"/>
    <w:rsid w:val="00A368D8"/>
    <w:rsid w:val="00B56D34"/>
    <w:rsid w:val="00B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94"/>
    <o:shapelayout v:ext="edit">
      <o:idmap v:ext="edit" data="1,2,3"/>
    </o:shapelayout>
  </w:shapeDefaults>
  <w:decimalSymbol w:val=","/>
  <w:listSeparator w:val=";"/>
  <w14:defaultImageDpi w14:val="0"/>
  <w15:docId w15:val="{73398C66-EC11-4B99-9E60-D76D170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news.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ltilateralfund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whc.unesco.org/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12441</Words>
  <Characters>67184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dcterms:created xsi:type="dcterms:W3CDTF">2016-02-24T17:31:00Z</dcterms:created>
  <dcterms:modified xsi:type="dcterms:W3CDTF">2016-02-24T17:42:00Z</dcterms:modified>
</cp:coreProperties>
</file>