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Prova EDA 0101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Folha de Resposta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Nome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Número USP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Turma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Período de matrícula (noturno ou vespertino)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Nota de autoavaliação (0 a 1)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Orientação para o formato das respostas: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Escreva em padrão ABNT. Redija utilizando fonte Times New Roman, tamanho 12 e espaçamento 1,5.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Questão: “Os desdobramentos políticos da teoria do capital humano foram diversos e contraditórios, alimentando tanto o Estado de Bem-estar Social quanto o neoliberalismo.” Faça uma resposta de 350 a 1000 palavras explicando a afirmação acima. Demonstre como a teoria do capital humano foi mobilizada no Estado de Bem-estar social e no neoliberalismo.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Resposta (de 350 a 1000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ATENÇÃO: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Caso você decida fazer a recuperação da primeira prova, escolha a segunda ou terceira questão da prova anterior para responder e elabore abaixo uma resposta de 350 a 1000 palavras.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