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47BC" w14:textId="77777777" w:rsidR="00532648" w:rsidRPr="00EA1345" w:rsidRDefault="00C74484" w:rsidP="00C74484">
      <w:pPr>
        <w:jc w:val="center"/>
        <w:rPr>
          <w:b/>
          <w:bCs/>
        </w:rPr>
      </w:pPr>
      <w:r w:rsidRPr="00EA1345">
        <w:rPr>
          <w:b/>
          <w:bCs/>
        </w:rPr>
        <w:t>Atividade de fixação – 31/05</w:t>
      </w:r>
      <w:r w:rsidR="00CC215B" w:rsidRPr="00EA1345">
        <w:rPr>
          <w:b/>
          <w:bCs/>
        </w:rPr>
        <w:t xml:space="preserve"> – Sociologia do Direito</w:t>
      </w:r>
    </w:p>
    <w:p w14:paraId="65E1F327" w14:textId="77777777" w:rsidR="00CC215B" w:rsidRPr="00EA1345" w:rsidRDefault="00CC215B" w:rsidP="00CC215B">
      <w:pPr>
        <w:ind w:firstLine="708"/>
        <w:jc w:val="both"/>
        <w:rPr>
          <w:b/>
          <w:bCs/>
        </w:rPr>
      </w:pPr>
    </w:p>
    <w:p w14:paraId="283A02C0" w14:textId="77777777" w:rsidR="00CC215B" w:rsidRPr="00EA1345" w:rsidRDefault="00CC215B" w:rsidP="00CC215B">
      <w:pPr>
        <w:ind w:firstLine="708"/>
        <w:jc w:val="both"/>
        <w:rPr>
          <w:b/>
          <w:bCs/>
        </w:rPr>
      </w:pPr>
      <w:r w:rsidRPr="00EA1345">
        <w:rPr>
          <w:b/>
          <w:bCs/>
        </w:rPr>
        <w:t>Links para os vídeos:</w:t>
      </w:r>
    </w:p>
    <w:p w14:paraId="54884296" w14:textId="77777777" w:rsidR="00CC215B" w:rsidRPr="00EA1345" w:rsidRDefault="008C1F82" w:rsidP="00CC215B">
      <w:pPr>
        <w:pStyle w:val="PargrafodaLista"/>
        <w:numPr>
          <w:ilvl w:val="0"/>
          <w:numId w:val="1"/>
        </w:numPr>
        <w:jc w:val="both"/>
      </w:pPr>
      <w:hyperlink r:id="rId5" w:history="1">
        <w:r w:rsidR="00CC215B" w:rsidRPr="00EA1345">
          <w:rPr>
            <w:rStyle w:val="Hyperlink"/>
          </w:rPr>
          <w:t>https://www.youtube.com/watch?v=ildN6lyXDNE&amp;t=11s</w:t>
        </w:r>
      </w:hyperlink>
    </w:p>
    <w:p w14:paraId="0A6F4F3C" w14:textId="77777777" w:rsidR="00CC215B" w:rsidRPr="00EA1345" w:rsidRDefault="008C1F82" w:rsidP="00CC215B">
      <w:pPr>
        <w:pStyle w:val="PargrafodaLista"/>
        <w:numPr>
          <w:ilvl w:val="0"/>
          <w:numId w:val="1"/>
        </w:numPr>
        <w:jc w:val="both"/>
      </w:pPr>
      <w:hyperlink r:id="rId6" w:history="1">
        <w:r w:rsidR="00CC215B" w:rsidRPr="00EA1345">
          <w:rPr>
            <w:rStyle w:val="Hyperlink"/>
          </w:rPr>
          <w:t>https://www.youtube.com/watch?v=EBLwWB3g-q4</w:t>
        </w:r>
      </w:hyperlink>
    </w:p>
    <w:p w14:paraId="6B3F62FF" w14:textId="77777777" w:rsidR="00CC215B" w:rsidRPr="00EA1345" w:rsidRDefault="008C1F82" w:rsidP="00CC215B">
      <w:pPr>
        <w:pStyle w:val="PargrafodaLista"/>
        <w:numPr>
          <w:ilvl w:val="0"/>
          <w:numId w:val="1"/>
        </w:numPr>
        <w:jc w:val="both"/>
      </w:pPr>
      <w:hyperlink r:id="rId7" w:history="1">
        <w:r w:rsidR="00CC215B" w:rsidRPr="00EA1345">
          <w:rPr>
            <w:rStyle w:val="Hyperlink"/>
          </w:rPr>
          <w:t>https://www.youtube.com/watch?v=xdgVdhElwtg</w:t>
        </w:r>
      </w:hyperlink>
    </w:p>
    <w:p w14:paraId="79C5C54C" w14:textId="77777777" w:rsidR="00CC215B" w:rsidRPr="00EA1345" w:rsidRDefault="00CC215B" w:rsidP="00CC215B">
      <w:pPr>
        <w:ind w:firstLine="708"/>
        <w:jc w:val="both"/>
        <w:rPr>
          <w:b/>
          <w:bCs/>
        </w:rPr>
      </w:pPr>
      <w:r w:rsidRPr="00EA1345">
        <w:rPr>
          <w:b/>
          <w:bCs/>
        </w:rPr>
        <w:t>Fragmentos textuais:</w:t>
      </w:r>
    </w:p>
    <w:p w14:paraId="332EEDC5" w14:textId="77777777" w:rsidR="007D1E72" w:rsidRPr="00EA1345" w:rsidRDefault="005B5104" w:rsidP="005B5104">
      <w:pPr>
        <w:jc w:val="both"/>
      </w:pPr>
      <w:r w:rsidRPr="00EA1345">
        <w:tab/>
      </w:r>
      <w:r w:rsidRPr="00EA1345">
        <w:rPr>
          <w:b/>
          <w:bCs/>
        </w:rPr>
        <w:t>a-)</w:t>
      </w:r>
      <w:r w:rsidRPr="00EA1345">
        <w:t xml:space="preserve"> (...) É bem verdade que o direito positivo só exige comportamentos legais, no entanto, ele precisa ser </w:t>
      </w:r>
      <w:r w:rsidRPr="00EA1345">
        <w:rPr>
          <w:i/>
          <w:iCs/>
        </w:rPr>
        <w:t>legítimo</w:t>
      </w:r>
      <w:r w:rsidRPr="00EA1345">
        <w:t>: embora d</w:t>
      </w:r>
      <w:r w:rsidR="007D1E72" w:rsidRPr="00EA1345">
        <w:t>ê</w:t>
      </w:r>
      <w:r w:rsidRPr="00EA1345">
        <w:t xml:space="preserve"> margem aos motivos da obediência jurídica, deve ser constituído de maneira que também possa ser cumprido a qualquer momento por seus destinatários, pelo simples respeito à lei. Uma ordem jurídica é legítima quando assegura por igual a autonomia de todos os cidadãos. E os cidadãos só são autônomos quando os destinatários do direito podem ao mesmo tempo entender-se a si mesmos como autores do direito. E tais autores só são livres como participantes de processos legislativos regrados de tal maneira e cumpridos sob tais formas de comunicação que todos possam supor que regras firmadas desse modo mereçam concordância geral e motivada pela razão. Do ponto de vista normativo, não há Estado de direito sem democracia. Por outro lado, como o próprio processo democrático precisa ser institucionalizado juridicamente, o princípio da soberania dos povos exige, ao inverso, o respeito a direitos fundamentais sem os quais simplesmente não pode haver um direito legítimo: em primeira linha o direito à liberdades de ação subjetivas iguais, que por sua vez pressupõe uma defesa jurídica individual e abrangente. </w:t>
      </w:r>
    </w:p>
    <w:p w14:paraId="2A646D78" w14:textId="77777777" w:rsidR="00C74484" w:rsidRPr="00EA1345" w:rsidRDefault="007D1E72" w:rsidP="007D1E72">
      <w:pPr>
        <w:ind w:firstLine="708"/>
        <w:jc w:val="both"/>
      </w:pPr>
      <w:r w:rsidRPr="00EA1345">
        <w:t xml:space="preserve">Tão logo tratamos de um problema como problema jurídico, trazemos imediatamente à baila um conceito de direito moderno que nos obriga – ao menos por razões conceituais – a operar com a arquitetônica do Estado de direito, ela mesma muito rica em pressupostos. Isso também traz consequências para o tratamento do problema da igualação jurídica e do igual reconhecimento de grupos culturalmente definidos, ou seja, de coletividades que se distinguem de outras – seja pela tradição, forma de vida, proveniência étnica etc. – e cujos integrantes realmente </w:t>
      </w:r>
      <w:r w:rsidRPr="00EA1345">
        <w:rPr>
          <w:i/>
          <w:iCs/>
        </w:rPr>
        <w:t xml:space="preserve">querem </w:t>
      </w:r>
      <w:r w:rsidRPr="00EA1345">
        <w:t xml:space="preserve">distinguir-se das demais coletividades, em virtude da manutenção e desenvolvimento de sua própria identidade </w:t>
      </w:r>
      <w:r w:rsidR="005B5104" w:rsidRPr="00EA1345">
        <w:t xml:space="preserve">(HABERMAS, </w:t>
      </w:r>
      <w:r w:rsidR="00704FF1" w:rsidRPr="00EA1345">
        <w:t>2002</w:t>
      </w:r>
      <w:r w:rsidR="005B5104" w:rsidRPr="00EA1345">
        <w:t>, p. 250-251)</w:t>
      </w:r>
      <w:r w:rsidRPr="00EA1345">
        <w:t>.</w:t>
      </w:r>
    </w:p>
    <w:p w14:paraId="69C85255" w14:textId="77777777" w:rsidR="00CC215B" w:rsidRPr="00EA1345" w:rsidRDefault="00CC215B" w:rsidP="00EA0D8A">
      <w:pPr>
        <w:jc w:val="both"/>
      </w:pPr>
      <w:r w:rsidRPr="00EA1345">
        <w:tab/>
      </w:r>
      <w:r w:rsidRPr="00EA1345">
        <w:rPr>
          <w:b/>
          <w:bCs/>
        </w:rPr>
        <w:t>b-</w:t>
      </w:r>
      <w:proofErr w:type="gramStart"/>
      <w:r w:rsidR="00EA0D8A" w:rsidRPr="00EA1345">
        <w:rPr>
          <w:b/>
          <w:bCs/>
        </w:rPr>
        <w:t>)</w:t>
      </w:r>
      <w:r w:rsidR="00EA0D8A" w:rsidRPr="00EA1345">
        <w:t xml:space="preserve"> Sob</w:t>
      </w:r>
      <w:proofErr w:type="gramEnd"/>
      <w:r w:rsidR="007D1E72" w:rsidRPr="00EA1345">
        <w:t xml:space="preserve"> uma visão da teoria do direito, o multiculturalismo suscita em primeira linha a questão sobre a </w:t>
      </w:r>
      <w:r w:rsidR="007D1E72" w:rsidRPr="00EA1345">
        <w:rPr>
          <w:i/>
          <w:iCs/>
        </w:rPr>
        <w:t xml:space="preserve">neutralidade ética </w:t>
      </w:r>
      <w:r w:rsidR="007D1E72" w:rsidRPr="00EA1345">
        <w:t xml:space="preserve">da ordem jurídica e da política. Denomino éticas, nesse contexto, todas as questões que se referem a concepções do bem viver ou da vida não-malograda. Questões éticas não se deixam julgar sob o ponto de vista “moral” que se pergunta se algo é “igualmente bom para todos”; sobre o fundamento de valorações intensas, pode-se avaliar bem melhor o julgamento imparcial dessas questões com base na autocompreensão e no projeto de vida perspectivo de grupos em particular, ou seja, com base no que seja “bom para nós, mas a partir da visão do todo manifestada por </w:t>
      </w:r>
      <w:r w:rsidR="00EA0D8A" w:rsidRPr="00EA1345">
        <w:rPr>
          <w:i/>
          <w:iCs/>
        </w:rPr>
        <w:t>esses grupos</w:t>
      </w:r>
      <w:r w:rsidR="00EA0D8A" w:rsidRPr="00EA1345">
        <w:t xml:space="preserve">. (HABERMAS, </w:t>
      </w:r>
      <w:r w:rsidR="00704FF1" w:rsidRPr="00EA1345">
        <w:t>2002</w:t>
      </w:r>
      <w:r w:rsidR="00EA0D8A" w:rsidRPr="00EA1345">
        <w:t xml:space="preserve">, p. 251) </w:t>
      </w:r>
    </w:p>
    <w:p w14:paraId="450B7A7E" w14:textId="77777777" w:rsidR="00C2577B" w:rsidRPr="00EA1345" w:rsidRDefault="00CC215B" w:rsidP="00C2577B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  <w:r w:rsidRPr="00EA1345">
        <w:tab/>
      </w:r>
      <w:r w:rsidRPr="00F204B0">
        <w:rPr>
          <w:b/>
          <w:bCs/>
        </w:rPr>
        <w:t>c-</w:t>
      </w:r>
      <w:proofErr w:type="gramStart"/>
      <w:r w:rsidRPr="00F204B0">
        <w:rPr>
          <w:b/>
          <w:bCs/>
        </w:rPr>
        <w:t>)</w:t>
      </w:r>
      <w:r w:rsidR="00C2577B" w:rsidRPr="00EA1345">
        <w:t xml:space="preserve"> </w:t>
      </w:r>
      <w:r w:rsidR="00C2577B" w:rsidRPr="00EA1345">
        <w:rPr>
          <w:rFonts w:eastAsia="CIDFont+F2" w:cstheme="minorHAnsi"/>
        </w:rPr>
        <w:t>É</w:t>
      </w:r>
      <w:proofErr w:type="gramEnd"/>
      <w:r w:rsidR="00C2577B" w:rsidRPr="00EA1345">
        <w:rPr>
          <w:rFonts w:eastAsia="CIDFont+F2" w:cstheme="minorHAnsi"/>
        </w:rPr>
        <w:t xml:space="preserve"> no espaço argumentativo, do discurso e do debate que se inserem as possibilidades reais de filtragem cognoscitiva, ou seja, a seleção do que é racionalmente aceitável para o conjunto de interlocutores de um contexto comunicativo, incluídos os potenciais interlocutores. Ao mesmo tempo, a seleção se dá no âmbito das práticas cotidianas deduzidas em processos de elaboração de sentidos e explicitas mediante formas discursivas. O conhecimento resulta da apreensão do real pela consciência</w:t>
      </w:r>
    </w:p>
    <w:p w14:paraId="64671807" w14:textId="0679A7AF" w:rsidR="00C2577B" w:rsidRPr="00EA1345" w:rsidRDefault="00C2577B" w:rsidP="00C2577B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  <w:r w:rsidRPr="00EA1345">
        <w:rPr>
          <w:rFonts w:eastAsia="CIDFont+F2" w:cstheme="minorHAnsi"/>
        </w:rPr>
        <w:lastRenderedPageBreak/>
        <w:t>traduzida em atos de fala. A intersubjetividade implica a relação sujeito-objeto-sujeito. É</w:t>
      </w:r>
      <w:r w:rsidR="00704FF1" w:rsidRPr="00EA1345">
        <w:rPr>
          <w:rFonts w:eastAsia="CIDFont+F2" w:cstheme="minorHAnsi"/>
        </w:rPr>
        <w:t xml:space="preserve"> </w:t>
      </w:r>
      <w:r w:rsidRPr="00EA1345">
        <w:rPr>
          <w:rFonts w:eastAsia="CIDFont+F2" w:cstheme="minorHAnsi"/>
        </w:rPr>
        <w:t>ética porquanto pode propiciar a valoração da ação coletiva e dos indivíduos no âmbito</w:t>
      </w:r>
      <w:r w:rsidR="00704FF1" w:rsidRPr="00EA1345">
        <w:rPr>
          <w:rFonts w:eastAsia="CIDFont+F2" w:cstheme="minorHAnsi"/>
        </w:rPr>
        <w:t xml:space="preserve"> </w:t>
      </w:r>
      <w:r w:rsidRPr="00EA1345">
        <w:rPr>
          <w:rFonts w:eastAsia="CIDFont+F2" w:cstheme="minorHAnsi"/>
        </w:rPr>
        <w:t>de processos racionais de reconhecimento comum</w:t>
      </w:r>
      <w:r w:rsidR="00704FF1" w:rsidRPr="00EA1345">
        <w:rPr>
          <w:rFonts w:eastAsia="CIDFont+F2" w:cstheme="minorHAnsi"/>
        </w:rPr>
        <w:t xml:space="preserve"> (...) (PONZILACQUA, p. 19, 2017)</w:t>
      </w:r>
    </w:p>
    <w:p w14:paraId="04228D44" w14:textId="77777777" w:rsidR="00EA1345" w:rsidRPr="00EA1345" w:rsidRDefault="00EA1345" w:rsidP="00C2577B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</w:p>
    <w:p w14:paraId="62119FBB" w14:textId="67B78517" w:rsidR="00CC215B" w:rsidRPr="00EA1345" w:rsidRDefault="00CC215B" w:rsidP="00EA1345">
      <w:pPr>
        <w:jc w:val="both"/>
      </w:pPr>
      <w:r w:rsidRPr="00EA1345">
        <w:tab/>
      </w:r>
      <w:r w:rsidRPr="00F204B0">
        <w:rPr>
          <w:b/>
          <w:bCs/>
        </w:rPr>
        <w:t>d-)</w:t>
      </w:r>
      <w:r w:rsidR="00EA1345" w:rsidRPr="00EA1345">
        <w:t xml:space="preserve"> A ideia de </w:t>
      </w:r>
      <w:proofErr w:type="spellStart"/>
      <w:r w:rsidR="00EA1345" w:rsidRPr="00EA1345">
        <w:t>autolegislação</w:t>
      </w:r>
      <w:proofErr w:type="spellEnd"/>
      <w:r w:rsidR="00EA1345" w:rsidRPr="00EA1345">
        <w:t xml:space="preserve"> de cidadãos não pode, pois, ser deduzida da </w:t>
      </w:r>
      <w:proofErr w:type="spellStart"/>
      <w:r w:rsidR="00EA1345" w:rsidRPr="00EA1345">
        <w:t>autolegislação</w:t>
      </w:r>
      <w:proofErr w:type="spellEnd"/>
      <w:r w:rsidR="00EA1345" w:rsidRPr="00EA1345">
        <w:t xml:space="preserve"> moral de pessoas singulares. A autonomia tem que ser entendida de modo mais geral e neutro. Por isso, introduzi um princípio discurso, que é indiferente em relação à moral e ao direito. Esse princípio deve assumir – pela via da institucionalização jurídica – a figura de um princípio da democracia, o qual passa a conferir força legitimadora ao processo de normatização. A ideia básica é a seguinte: o princípio da democracia resulta da interligação que existe entre o princípio do discurso e a forma jurídica. Eu vejo esse entrelaçamento como uma gênese lógica de direito, a qual pode ser reconstruída passo a passo. Ela começa com a aplicação do princípio do discurso ao direito liberdades subjetivas de ação em geral – constitutivo para a forma jurídica enquanto tal – e termina quando acontece a institucionalização jurídica de condições para um exercício discursivo da autonomia política, a qual pode equipar retroativamente a autonomia privada, inicialmente abstrata, com a forma jurídica. Por isso, o princípio da democracia só pode aparecer como núcleo de um sistema de direitos. A gênese lógica desses direitos forma um processo circular, no qual o código do direito e o mecanismo para a produção de direito legítimo, portanto o princípio da democracia, e constituem de modo </w:t>
      </w:r>
      <w:proofErr w:type="spellStart"/>
      <w:r w:rsidR="00EA1345" w:rsidRPr="00EA1345">
        <w:t>co-originário</w:t>
      </w:r>
      <w:proofErr w:type="spellEnd"/>
      <w:r w:rsidR="00EA1345" w:rsidRPr="00EA1345">
        <w:t xml:space="preserve"> (HABERMAS, Jürgen. Direito e Democracia: entre facticidade e validade, vol. 1, tradução: Flávio </w:t>
      </w:r>
      <w:proofErr w:type="spellStart"/>
      <w:r w:rsidR="00EA1345" w:rsidRPr="00EA1345">
        <w:t>Beno</w:t>
      </w:r>
      <w:proofErr w:type="spellEnd"/>
      <w:r w:rsidR="00EA1345" w:rsidRPr="00EA1345">
        <w:t xml:space="preserve">, </w:t>
      </w:r>
      <w:proofErr w:type="spellStart"/>
      <w:r w:rsidR="00EA1345" w:rsidRPr="00EA1345">
        <w:t>Siebneichler</w:t>
      </w:r>
      <w:proofErr w:type="spellEnd"/>
      <w:r w:rsidR="00EA1345" w:rsidRPr="00EA1345">
        <w:t>, Rio de Janeiro: Tempo Brasileiro, 1997, p. 158)</w:t>
      </w:r>
    </w:p>
    <w:p w14:paraId="5929A4F2" w14:textId="6AFBAC33" w:rsidR="00CC215B" w:rsidRDefault="00CC215B" w:rsidP="00EA1345">
      <w:pPr>
        <w:pBdr>
          <w:bottom w:val="single" w:sz="12" w:space="1" w:color="auto"/>
        </w:pBdr>
        <w:jc w:val="both"/>
      </w:pPr>
      <w:r w:rsidRPr="00EA1345">
        <w:tab/>
      </w:r>
      <w:r w:rsidRPr="00F204B0">
        <w:rPr>
          <w:b/>
          <w:bCs/>
        </w:rPr>
        <w:t>e-)</w:t>
      </w:r>
      <w:r w:rsidR="00EA1345">
        <w:t xml:space="preserve"> FORMALIZAÇÃO E VIOLÊNCIA SIMBÓLICA: A operosidade dos agentes jurídicos se perfaz mediante a “formalização”: a ‘criação jurídica’, por excelência, em que a “force de </w:t>
      </w:r>
      <w:proofErr w:type="spellStart"/>
      <w:r w:rsidR="00EA1345">
        <w:t>la</w:t>
      </w:r>
      <w:proofErr w:type="spellEnd"/>
      <w:r w:rsidR="00EA1345">
        <w:t xml:space="preserve"> forme” corresponde aos interesses sociais dos “</w:t>
      </w:r>
      <w:proofErr w:type="spellStart"/>
      <w:r w:rsidR="00EA1345">
        <w:t>formalisateurs</w:t>
      </w:r>
      <w:proofErr w:type="spellEnd"/>
      <w:r w:rsidR="00EA1345">
        <w:t>”, que obtêm a supremacia no âmbito da concorrência operada dentro do campo específico que é o jurídico. A violência simbólica sutil perpetrada pelo rigor das formas jurídicas (</w:t>
      </w:r>
      <w:proofErr w:type="spellStart"/>
      <w:r w:rsidR="00EA1345">
        <w:t>summun</w:t>
      </w:r>
      <w:proofErr w:type="spellEnd"/>
      <w:r w:rsidR="00EA1345">
        <w:t xml:space="preserve"> </w:t>
      </w:r>
      <w:proofErr w:type="spellStart"/>
      <w:r w:rsidR="00EA1345">
        <w:t>ius</w:t>
      </w:r>
      <w:proofErr w:type="spellEnd"/>
      <w:r w:rsidR="00EA1345">
        <w:t xml:space="preserve">) alcança seu escopo que é consolidar os meios “irrepreensíveis” para obtenção dos capitais associados ao universo jurídico (summa </w:t>
      </w:r>
      <w:proofErr w:type="spellStart"/>
      <w:r w:rsidR="00EA1345">
        <w:t>iuria</w:t>
      </w:r>
      <w:proofErr w:type="spellEnd"/>
      <w:r w:rsidR="00EA1345">
        <w:t>) (BOURDIEU, 1986: 14-18). (</w:t>
      </w:r>
      <w:r w:rsidR="00EA1345" w:rsidRPr="00EA1345">
        <w:t xml:space="preserve">PONZILACQUA, Márcio Henrique Pereira. A sociologia do Campo jurídico de Bourdieu e </w:t>
      </w:r>
      <w:proofErr w:type="spellStart"/>
      <w:r w:rsidR="00EA1345" w:rsidRPr="00EA1345">
        <w:t>Dezalay</w:t>
      </w:r>
      <w:proofErr w:type="spellEnd"/>
      <w:r w:rsidR="00EA1345" w:rsidRPr="00EA1345">
        <w:t>. In: Revista Direito e Práxis, v. 09, p. 226-249, 2018.</w:t>
      </w:r>
      <w:r w:rsidR="00EA1345">
        <w:t>)</w:t>
      </w:r>
    </w:p>
    <w:p w14:paraId="76F5C152" w14:textId="77777777" w:rsidR="00F204B0" w:rsidRDefault="00F204B0" w:rsidP="00F204B0">
      <w:pPr>
        <w:jc w:val="both"/>
      </w:pPr>
    </w:p>
    <w:p w14:paraId="6BFF2F58" w14:textId="3663E2CF" w:rsidR="004F17E2" w:rsidRPr="00EA1345" w:rsidRDefault="00CC215B" w:rsidP="008C1F82">
      <w:pPr>
        <w:jc w:val="both"/>
        <w:rPr>
          <w:b/>
          <w:bCs/>
        </w:rPr>
      </w:pPr>
      <w:r w:rsidRPr="00EA1345">
        <w:rPr>
          <w:b/>
          <w:bCs/>
        </w:rPr>
        <w:t>Relacione</w:t>
      </w:r>
      <w:r w:rsidR="00512152">
        <w:rPr>
          <w:b/>
          <w:bCs/>
        </w:rPr>
        <w:t>m</w:t>
      </w:r>
      <w:r w:rsidR="004F17E2" w:rsidRPr="00EA1345">
        <w:rPr>
          <w:b/>
          <w:bCs/>
        </w:rPr>
        <w:t xml:space="preserve">, a partir </w:t>
      </w:r>
      <w:r w:rsidRPr="00EA1345">
        <w:rPr>
          <w:b/>
          <w:bCs/>
        </w:rPr>
        <w:t>dos conteúdos vistos na</w:t>
      </w:r>
      <w:r w:rsidR="00512152">
        <w:rPr>
          <w:b/>
          <w:bCs/>
        </w:rPr>
        <w:t>s</w:t>
      </w:r>
      <w:r w:rsidRPr="00EA1345">
        <w:rPr>
          <w:b/>
          <w:bCs/>
        </w:rPr>
        <w:t xml:space="preserve"> aula</w:t>
      </w:r>
      <w:r w:rsidR="00512152">
        <w:rPr>
          <w:b/>
          <w:bCs/>
        </w:rPr>
        <w:t>s</w:t>
      </w:r>
      <w:r w:rsidRPr="00EA1345">
        <w:rPr>
          <w:b/>
          <w:bCs/>
        </w:rPr>
        <w:t xml:space="preserve"> 6</w:t>
      </w:r>
      <w:r w:rsidR="00512152">
        <w:rPr>
          <w:b/>
          <w:bCs/>
        </w:rPr>
        <w:t xml:space="preserve"> (Habermas e Bourdieu)</w:t>
      </w:r>
      <w:r w:rsidRPr="00EA1345">
        <w:rPr>
          <w:b/>
          <w:bCs/>
        </w:rPr>
        <w:t xml:space="preserve">, </w:t>
      </w:r>
      <w:r w:rsidR="004F17E2" w:rsidRPr="00EA1345">
        <w:rPr>
          <w:b/>
          <w:bCs/>
        </w:rPr>
        <w:t>os materiais acima</w:t>
      </w:r>
      <w:r w:rsidRPr="00EA1345">
        <w:rPr>
          <w:b/>
          <w:bCs/>
        </w:rPr>
        <w:t xml:space="preserve"> compartilhados com </w:t>
      </w:r>
      <w:r w:rsidR="008C1F82">
        <w:rPr>
          <w:b/>
          <w:bCs/>
        </w:rPr>
        <w:t>as</w:t>
      </w:r>
      <w:r w:rsidRPr="00EA1345">
        <w:rPr>
          <w:b/>
          <w:bCs/>
        </w:rPr>
        <w:t xml:space="preserve"> </w:t>
      </w:r>
      <w:r w:rsidR="00512152">
        <w:rPr>
          <w:b/>
          <w:bCs/>
        </w:rPr>
        <w:t>teorias/</w:t>
      </w:r>
      <w:r w:rsidRPr="00EA1345">
        <w:rPr>
          <w:b/>
          <w:bCs/>
        </w:rPr>
        <w:t>conceitos-chave a seguir:</w:t>
      </w:r>
      <w:r w:rsidR="00F204B0">
        <w:rPr>
          <w:b/>
          <w:bCs/>
        </w:rPr>
        <w:t xml:space="preserve"> r</w:t>
      </w:r>
      <w:r w:rsidRPr="00EA1345">
        <w:rPr>
          <w:b/>
          <w:bCs/>
        </w:rPr>
        <w:t>econhecimento, emancipação, processo deliberativo, ética do discurso, teoria da ação comunicativa</w:t>
      </w:r>
      <w:r w:rsidR="00EA1345">
        <w:rPr>
          <w:b/>
          <w:bCs/>
        </w:rPr>
        <w:t xml:space="preserve">, </w:t>
      </w:r>
      <w:r w:rsidR="00512152">
        <w:rPr>
          <w:b/>
          <w:bCs/>
        </w:rPr>
        <w:t>violência</w:t>
      </w:r>
      <w:r w:rsidR="00F204B0">
        <w:rPr>
          <w:b/>
          <w:bCs/>
        </w:rPr>
        <w:t xml:space="preserve"> </w:t>
      </w:r>
      <w:r w:rsidR="00EA1345">
        <w:rPr>
          <w:b/>
          <w:bCs/>
        </w:rPr>
        <w:t>simbólic</w:t>
      </w:r>
      <w:r w:rsidR="00512152">
        <w:rPr>
          <w:b/>
          <w:bCs/>
        </w:rPr>
        <w:t>a</w:t>
      </w:r>
      <w:r w:rsidR="00F204B0">
        <w:rPr>
          <w:b/>
          <w:bCs/>
        </w:rPr>
        <w:t>, direito autorreferenciado, autonomia e monopólio do poder</w:t>
      </w:r>
      <w:r w:rsidR="008C1F82">
        <w:rPr>
          <w:b/>
          <w:bCs/>
        </w:rPr>
        <w:t>, dentre outros que julgares pertinentes</w:t>
      </w:r>
      <w:r w:rsidR="00F204B0">
        <w:rPr>
          <w:b/>
          <w:bCs/>
        </w:rPr>
        <w:t xml:space="preserve">. </w:t>
      </w:r>
      <w:bookmarkStart w:id="0" w:name="_GoBack"/>
      <w:bookmarkEnd w:id="0"/>
    </w:p>
    <w:p w14:paraId="189AA299" w14:textId="77777777" w:rsidR="00C74484" w:rsidRPr="00EA1345" w:rsidRDefault="00C74484" w:rsidP="00C74484">
      <w:pPr>
        <w:jc w:val="center"/>
        <w:rPr>
          <w:b/>
          <w:bCs/>
        </w:rPr>
      </w:pPr>
    </w:p>
    <w:p w14:paraId="7F5C920F" w14:textId="77777777" w:rsidR="00C74484" w:rsidRPr="00EA1345" w:rsidRDefault="00C74484" w:rsidP="00C74484">
      <w:pPr>
        <w:jc w:val="center"/>
        <w:rPr>
          <w:b/>
          <w:bCs/>
        </w:rPr>
      </w:pPr>
    </w:p>
    <w:sectPr w:rsidR="00C74484" w:rsidRPr="00EA1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36BE"/>
    <w:multiLevelType w:val="hybridMultilevel"/>
    <w:tmpl w:val="C63474A0"/>
    <w:lvl w:ilvl="0" w:tplc="686C939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E07896"/>
    <w:multiLevelType w:val="hybridMultilevel"/>
    <w:tmpl w:val="85FA51B2"/>
    <w:lvl w:ilvl="0" w:tplc="60AAE0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84"/>
    <w:rsid w:val="004F17E2"/>
    <w:rsid w:val="00512152"/>
    <w:rsid w:val="00532648"/>
    <w:rsid w:val="005B297C"/>
    <w:rsid w:val="005B5104"/>
    <w:rsid w:val="00704FF1"/>
    <w:rsid w:val="007D1E72"/>
    <w:rsid w:val="008C1F82"/>
    <w:rsid w:val="00C2577B"/>
    <w:rsid w:val="00C74484"/>
    <w:rsid w:val="00CC215B"/>
    <w:rsid w:val="00EA0D8A"/>
    <w:rsid w:val="00EA1345"/>
    <w:rsid w:val="00F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3B28"/>
  <w15:chartTrackingRefBased/>
  <w15:docId w15:val="{CD998875-805B-482B-B542-0A1A6A6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4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4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44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F1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gVdhElw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LwWB3g-q4" TargetMode="External"/><Relationship Id="rId5" Type="http://schemas.openxmlformats.org/officeDocument/2006/relationships/hyperlink" Target="https://www.youtube.com/watch?v=ildN6lyXDNE&amp;t=1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Marques</dc:creator>
  <cp:keywords/>
  <dc:description/>
  <cp:lastModifiedBy>Ricardo Marques</cp:lastModifiedBy>
  <cp:revision>3</cp:revision>
  <dcterms:created xsi:type="dcterms:W3CDTF">2022-05-23T22:52:00Z</dcterms:created>
  <dcterms:modified xsi:type="dcterms:W3CDTF">2022-05-27T21:01:00Z</dcterms:modified>
</cp:coreProperties>
</file>