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CE35" w14:textId="77777777" w:rsid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09C4ED" w14:textId="6D9B8DC6" w:rsidR="000247F3" w:rsidRPr="000247F3" w:rsidRDefault="000247F3" w:rsidP="000247F3">
      <w:pPr>
        <w:spacing w:after="0"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247F3">
        <w:rPr>
          <w:rFonts w:ascii="Arial" w:hAnsi="Arial" w:cs="Arial"/>
          <w:b/>
          <w:bCs/>
          <w:sz w:val="20"/>
          <w:szCs w:val="20"/>
        </w:rPr>
        <w:t>ESTUDO DE CASO:</w:t>
      </w:r>
      <w:r w:rsidRPr="000247F3">
        <w:rPr>
          <w:rFonts w:ascii="Arial" w:hAnsi="Arial" w:cs="Arial"/>
          <w:b/>
          <w:bCs/>
          <w:sz w:val="20"/>
          <w:szCs w:val="20"/>
        </w:rPr>
        <w:t xml:space="preserve"> DOSE DIÁRIA DEFINIDA</w:t>
      </w:r>
    </w:p>
    <w:p w14:paraId="1B19A7A8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1EED05CA" w14:textId="1BA81AD2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Questão 1. </w:t>
      </w:r>
      <w:r w:rsidRPr="000247F3">
        <w:rPr>
          <w:rFonts w:ascii="Arial" w:hAnsi="Arial" w:cs="Arial"/>
          <w:sz w:val="20"/>
          <w:szCs w:val="20"/>
        </w:rPr>
        <w:t xml:space="preserve">Segundo o levantamento do Instituto Brasileiro de Geografia e Estatística (IBGE em conjunto com o Ministério da Saúde, em 2003 o Brasil tinha cerca de 38,6 milhões de pessoas com peso acima do recomendado, o equivalente a 40,6% de sua população adulta. Desse total, 10,5 milhões eram obesos. </w:t>
      </w:r>
    </w:p>
    <w:p w14:paraId="0603D028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O tratamento farmacológico da obesidade está indicado quando o paciente possui um IMC maior que 30,0kg/m2 ou quando o indivíduo apresenta doenças associadas ao excesso de peso, em situações nas quais o tratamento com dieta, exercício ou aumento da atividade física e modificações comportamentais provou ser infrutífero.</w:t>
      </w:r>
    </w:p>
    <w:p w14:paraId="5B5543BB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Desde 1988, observa-se um consumo de anorexígenos elevado e crescente no país, tendo sido estimado em dez doses diárias definidas (DDD) por mil habitantes por dia. Em contraste à situação brasileira, na Europa, na década de 80, o consumo de </w:t>
      </w:r>
      <w:proofErr w:type="spellStart"/>
      <w:r w:rsidRPr="000247F3">
        <w:rPr>
          <w:rFonts w:ascii="Arial" w:hAnsi="Arial" w:cs="Arial"/>
          <w:sz w:val="20"/>
          <w:szCs w:val="20"/>
        </w:rPr>
        <w:t>psicoestimulantes</w:t>
      </w:r>
      <w:proofErr w:type="spellEnd"/>
      <w:r w:rsidRPr="000247F3">
        <w:rPr>
          <w:rFonts w:ascii="Arial" w:hAnsi="Arial" w:cs="Arial"/>
          <w:sz w:val="20"/>
          <w:szCs w:val="20"/>
        </w:rPr>
        <w:t xml:space="preserve"> era somente de 0,5 DDD/mil habitantes/dia e, em 1993, esse consumo já era considerado tão insignificante, que as quantidades eram insuficientes para o cálculo de DDD.</w:t>
      </w:r>
    </w:p>
    <w:p w14:paraId="7114356C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O consumo elevado dessas drogas motivou um estudo sobre a prescrição e dispensação de medicamentos psicotrópicos anorexígenos no Município de Belo Horizonte/MG, com o objetivo de avaliar o seu perfil de consumo. </w:t>
      </w:r>
    </w:p>
    <w:p w14:paraId="2F525DEE" w14:textId="77777777" w:rsidR="000247F3" w:rsidRPr="000247F3" w:rsidRDefault="000247F3" w:rsidP="000247F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Realizou-se a análise das notificações de receita B enviadas à vigilância sanitária do município pelas drogarias e farmácias de manipulação no ano de 2003; 455 empresas (52,4%) enviaram suas notificações. A população de Belo Horizonte estimada pelo IBGE, para o ano de 2003, era de 2.305.803 habitantes.</w:t>
      </w:r>
    </w:p>
    <w:p w14:paraId="05EA4A4F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Fonte: Adaptado de Carneiro, Guerra Junior e </w:t>
      </w:r>
      <w:proofErr w:type="spellStart"/>
      <w:r w:rsidRPr="000247F3">
        <w:rPr>
          <w:rFonts w:ascii="Arial" w:hAnsi="Arial" w:cs="Arial"/>
          <w:sz w:val="20"/>
          <w:szCs w:val="20"/>
        </w:rPr>
        <w:t>Acurcio</w:t>
      </w:r>
      <w:proofErr w:type="spellEnd"/>
      <w:r w:rsidRPr="000247F3">
        <w:rPr>
          <w:rFonts w:ascii="Arial" w:hAnsi="Arial" w:cs="Arial"/>
          <w:sz w:val="20"/>
          <w:szCs w:val="20"/>
        </w:rPr>
        <w:t xml:space="preserve"> (2008).</w:t>
      </w:r>
    </w:p>
    <w:p w14:paraId="083159D2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1DBBD7" w14:textId="2770DF5E" w:rsidR="00734842" w:rsidRDefault="00734842">
      <w:pPr>
        <w:spacing w:line="259" w:lineRule="auto"/>
        <w:rPr>
          <w:rFonts w:ascii="Arial" w:hAnsi="Arial" w:cs="Arial"/>
          <w:sz w:val="20"/>
          <w:szCs w:val="20"/>
        </w:rPr>
      </w:pPr>
    </w:p>
    <w:p w14:paraId="684F8BB4" w14:textId="1A7DFB48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 xml:space="preserve">a) Calcule a DDD/1000 </w:t>
      </w:r>
      <w:proofErr w:type="spellStart"/>
      <w:r w:rsidRPr="000247F3">
        <w:rPr>
          <w:rFonts w:ascii="Arial" w:hAnsi="Arial" w:cs="Arial"/>
          <w:sz w:val="20"/>
          <w:szCs w:val="20"/>
        </w:rPr>
        <w:t>hab</w:t>
      </w:r>
      <w:proofErr w:type="spellEnd"/>
      <w:r w:rsidRPr="000247F3">
        <w:rPr>
          <w:rFonts w:ascii="Arial" w:hAnsi="Arial" w:cs="Arial"/>
          <w:sz w:val="20"/>
          <w:szCs w:val="20"/>
        </w:rPr>
        <w:t>/dia por substância para a população de Belo Horizonte/MG em 2003. Demonstre os cálculos e preencha o quadro.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1204"/>
        <w:gridCol w:w="1383"/>
        <w:gridCol w:w="1792"/>
        <w:gridCol w:w="1681"/>
      </w:tblGrid>
      <w:tr w:rsidR="000247F3" w:rsidRPr="000247F3" w14:paraId="3BDF71F0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F5DFE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Denominação comum brasileira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5BEC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59D09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Número de notificações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61E96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Quantidade prescrita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042CC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DDD/1000 </w:t>
            </w:r>
            <w:proofErr w:type="spellStart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hab</w:t>
            </w:r>
            <w:proofErr w:type="spellEnd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/dia</w:t>
            </w:r>
          </w:p>
        </w:tc>
      </w:tr>
      <w:tr w:rsidR="000247F3" w:rsidRPr="000247F3" w14:paraId="1322A201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843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Anfepramona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2E2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75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31CB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100.673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EA21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353.995 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B2FF" w14:textId="7EF7BA88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3ACF7C13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A3E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Femproporex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8A1C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25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28FF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57.486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636E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89.636 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8E" w14:textId="2AF5C29A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07F8104B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66D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Mazindol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F0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AC30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9.370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EC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color w:val="000000"/>
                <w:sz w:val="20"/>
                <w:szCs w:val="20"/>
              </w:rPr>
              <w:t>803 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17DB" w14:textId="0A10AFBB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09EF9C99" w14:textId="77777777" w:rsidTr="000247F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7A8" w14:textId="77777777" w:rsidR="000247F3" w:rsidRPr="000247F3" w:rsidRDefault="000247F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Todos os medicamentos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7A87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665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9EAD" w14:textId="77777777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4915" w14:textId="69763661" w:rsidR="000247F3" w:rsidRPr="000247F3" w:rsidRDefault="000247F3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85757B3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0426B2" w14:textId="77777777" w:rsidR="00734842" w:rsidRDefault="0073484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ECA4D3" w14:textId="01DDDFED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lastRenderedPageBreak/>
        <w:t xml:space="preserve">b) Calcule uma projeção de DDD/1000 </w:t>
      </w:r>
      <w:proofErr w:type="spellStart"/>
      <w:r w:rsidRPr="000247F3">
        <w:rPr>
          <w:rFonts w:ascii="Arial" w:hAnsi="Arial" w:cs="Arial"/>
          <w:sz w:val="20"/>
          <w:szCs w:val="20"/>
        </w:rPr>
        <w:t>hab</w:t>
      </w:r>
      <w:proofErr w:type="spellEnd"/>
      <w:r w:rsidRPr="000247F3">
        <w:rPr>
          <w:rFonts w:ascii="Arial" w:hAnsi="Arial" w:cs="Arial"/>
          <w:sz w:val="20"/>
          <w:szCs w:val="20"/>
        </w:rPr>
        <w:t>/dia, caso 100% dos estabelecimentos tivessem enviado as notificações ao órgão sanitário. Demonstre os cálculos e preencha o quadro.</w:t>
      </w:r>
    </w:p>
    <w:tbl>
      <w:tblPr>
        <w:tblStyle w:val="Tabelacomgrade"/>
        <w:tblW w:w="5000" w:type="pct"/>
        <w:tblInd w:w="0" w:type="dxa"/>
        <w:tblLook w:val="04A0" w:firstRow="1" w:lastRow="0" w:firstColumn="1" w:lastColumn="0" w:noHBand="0" w:noVBand="1"/>
      </w:tblPr>
      <w:tblGrid>
        <w:gridCol w:w="2908"/>
        <w:gridCol w:w="1439"/>
        <w:gridCol w:w="2139"/>
        <w:gridCol w:w="2008"/>
      </w:tblGrid>
      <w:tr w:rsidR="000247F3" w:rsidRPr="000247F3" w14:paraId="5E5027C9" w14:textId="77777777" w:rsidTr="000247F3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BF9AF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Denominação comum brasileira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68FE7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 </w:t>
            </w:r>
          </w:p>
          <w:p w14:paraId="7A6B8F3E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(em mg)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34752" w14:textId="77777777" w:rsidR="000247F3" w:rsidRPr="000247F3" w:rsidRDefault="000247F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Quantidade prescrita estimada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3C9C3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DDD/1000 </w:t>
            </w:r>
            <w:proofErr w:type="spellStart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hab</w:t>
            </w:r>
            <w:proofErr w:type="spellEnd"/>
            <w:r w:rsidRPr="000247F3">
              <w:rPr>
                <w:rFonts w:ascii="Arial" w:hAnsi="Arial" w:cs="Arial"/>
                <w:b/>
                <w:bCs/>
                <w:sz w:val="20"/>
                <w:szCs w:val="20"/>
              </w:rPr>
              <w:t>/dia</w:t>
            </w:r>
          </w:p>
        </w:tc>
      </w:tr>
      <w:tr w:rsidR="000247F3" w:rsidRPr="000247F3" w14:paraId="59829F42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43A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Anfepramona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48BA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75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267F" w14:textId="799E2A31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8B7" w14:textId="6FE6858B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1AF8CBA5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B76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Femproporex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13C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 xml:space="preserve">25 mg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9B7B" w14:textId="0CE5FECE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F06" w14:textId="43C58E04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72E4138A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30D6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7F3">
              <w:rPr>
                <w:rFonts w:ascii="Arial" w:hAnsi="Arial" w:cs="Arial"/>
                <w:sz w:val="20"/>
                <w:szCs w:val="20"/>
              </w:rPr>
              <w:t>Mazindol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6EE9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2 mg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2DA8" w14:textId="62C14F11" w:rsidR="000247F3" w:rsidRPr="000247F3" w:rsidRDefault="000247F3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1D2" w14:textId="6E6CE605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247F3" w:rsidRPr="000247F3" w14:paraId="037ABEBC" w14:textId="77777777" w:rsidTr="0073484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7E2" w14:textId="77777777" w:rsidR="000247F3" w:rsidRPr="000247F3" w:rsidRDefault="000247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Todos os medicamentos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9198" w14:textId="77777777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7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B8C" w14:textId="6CCC2A23" w:rsidR="000247F3" w:rsidRPr="000247F3" w:rsidRDefault="000247F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711" w14:textId="2D0325C1" w:rsidR="000247F3" w:rsidRPr="000247F3" w:rsidRDefault="00024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6F3F7AF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38636" w14:textId="77777777" w:rsidR="000247F3" w:rsidRPr="000247F3" w:rsidRDefault="000247F3" w:rsidP="00024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08C20" w14:textId="3C149EC1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7F3">
        <w:rPr>
          <w:rFonts w:ascii="Arial" w:hAnsi="Arial" w:cs="Arial"/>
          <w:sz w:val="20"/>
          <w:szCs w:val="20"/>
        </w:rPr>
        <w:t>c) Caracterize o cenário apresentado, considerando os seus conhecimentos em farmacoepidemiologia – interprete os resultados e indique a necessidade de intervenções, se pertinente.</w:t>
      </w:r>
    </w:p>
    <w:p w14:paraId="4E4D6982" w14:textId="2A5DCA68" w:rsidR="00900AA9" w:rsidRPr="000247F3" w:rsidRDefault="00900AA9">
      <w:pPr>
        <w:rPr>
          <w:rFonts w:ascii="Arial" w:hAnsi="Arial" w:cs="Arial"/>
          <w:sz w:val="20"/>
          <w:szCs w:val="20"/>
        </w:rPr>
      </w:pPr>
    </w:p>
    <w:p w14:paraId="594E1ABE" w14:textId="713BBAC9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Questão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2</w:t>
      </w:r>
      <w:r w:rsidRPr="000247F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realizar uma abordagem epidemiológica do consumo de um determinado fármaco, é interessante utilizar uma unidade de medida que permita realizar comparações do consumo dentro de um mesmo país, ao longo do tempo. Considerando o exposto, a melhor metodologia é a quantificação do consumo em:</w:t>
      </w:r>
    </w:p>
    <w:p w14:paraId="2464DDD1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(A) valor econômico</w:t>
      </w:r>
    </w:p>
    <w:p w14:paraId="4C9E58E4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(B) unidades vendidas</w:t>
      </w:r>
    </w:p>
    <w:p w14:paraId="71C504FB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34842">
        <w:rPr>
          <w:rFonts w:ascii="Arial" w:hAnsi="Arial" w:cs="Arial"/>
          <w:color w:val="222222"/>
          <w:sz w:val="20"/>
          <w:szCs w:val="20"/>
          <w:shd w:val="clear" w:color="auto" w:fill="FFFFFF"/>
        </w:rPr>
        <w:t>(C) dose diária definida</w:t>
      </w:r>
    </w:p>
    <w:p w14:paraId="2E5D0F70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(D) unidades consumidas</w:t>
      </w:r>
    </w:p>
    <w:p w14:paraId="43261813" w14:textId="77777777" w:rsidR="000247F3" w:rsidRPr="000247F3" w:rsidRDefault="000247F3" w:rsidP="000247F3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7F3">
        <w:rPr>
          <w:rFonts w:ascii="Arial" w:hAnsi="Arial" w:cs="Arial"/>
          <w:color w:val="222222"/>
          <w:sz w:val="20"/>
          <w:szCs w:val="20"/>
          <w:shd w:val="clear" w:color="auto" w:fill="FFFFFF"/>
        </w:rPr>
        <w:t>Fonte: Questão do Concurso da Prefeitura Municipal de Goiânia (GO), prova para a função de Analista em Saúde I - Farmacêutico (2006).</w:t>
      </w:r>
    </w:p>
    <w:p w14:paraId="6B2ACB2D" w14:textId="77777777" w:rsidR="000247F3" w:rsidRPr="000247F3" w:rsidRDefault="000247F3">
      <w:pPr>
        <w:rPr>
          <w:rFonts w:ascii="Arial" w:hAnsi="Arial" w:cs="Arial"/>
          <w:sz w:val="20"/>
          <w:szCs w:val="20"/>
        </w:rPr>
      </w:pPr>
    </w:p>
    <w:sectPr w:rsidR="000247F3" w:rsidRPr="000247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E548" w14:textId="77777777" w:rsidR="0049184B" w:rsidRDefault="0049184B" w:rsidP="000247F3">
      <w:pPr>
        <w:spacing w:after="0" w:line="240" w:lineRule="auto"/>
      </w:pPr>
      <w:r>
        <w:separator/>
      </w:r>
    </w:p>
  </w:endnote>
  <w:endnote w:type="continuationSeparator" w:id="0">
    <w:p w14:paraId="5627ADEF" w14:textId="77777777" w:rsidR="0049184B" w:rsidRDefault="0049184B" w:rsidP="0002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7978" w14:textId="77777777" w:rsidR="0049184B" w:rsidRDefault="0049184B" w:rsidP="000247F3">
      <w:pPr>
        <w:spacing w:after="0" w:line="240" w:lineRule="auto"/>
      </w:pPr>
      <w:r>
        <w:separator/>
      </w:r>
    </w:p>
  </w:footnote>
  <w:footnote w:type="continuationSeparator" w:id="0">
    <w:p w14:paraId="0BB01634" w14:textId="77777777" w:rsidR="0049184B" w:rsidRDefault="0049184B" w:rsidP="0002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B317" w14:textId="77777777" w:rsidR="000247F3" w:rsidRDefault="000247F3" w:rsidP="000247F3">
    <w:pPr>
      <w:snapToGrid w:val="0"/>
      <w:spacing w:after="0" w:line="240" w:lineRule="auto"/>
      <w:jc w:val="center"/>
      <w:rPr>
        <w:rFonts w:ascii="Arial" w:eastAsiaTheme="minorHAnsi" w:hAnsi="Arial" w:cs="Arial"/>
        <w:b/>
        <w:sz w:val="20"/>
        <w:szCs w:val="20"/>
      </w:rPr>
    </w:pPr>
    <w:r>
      <w:rPr>
        <w:rFonts w:asciiTheme="minorHAnsi" w:eastAsiaTheme="minorHAnsi" w:hAnsiTheme="minorHAnsi" w:cstheme="minorBidi"/>
      </w:rPr>
      <w:object w:dxaOrig="225" w:dyaOrig="225" w14:anchorId="5E5CB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8pt;margin-top:-12.2pt;width:70.5pt;height:65.25pt;z-index:251658240;mso-position-horizontal-relative:text;mso-position-vertical-relative:text;mso-width-relative:page;mso-height-relative:page" wrapcoords="-230 0 -230 21352 21600 21352 21600 0 -230 0" filled="t">
          <v:fill color2="black"/>
          <v:imagedata r:id="rId1" o:title=""/>
          <w10:wrap type="through"/>
        </v:shape>
        <o:OLEObject Type="Embed" ProgID="PBrush" ShapeID="_x0000_s1025" DrawAspect="Content" ObjectID="_1712495732" r:id="rId2"/>
      </w:object>
    </w:r>
  </w:p>
  <w:p w14:paraId="3C7F66C0" w14:textId="77777777" w:rsidR="000247F3" w:rsidRDefault="000247F3" w:rsidP="000247F3">
    <w:pPr>
      <w:snapToGri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DE SÃO PAULO</w:t>
    </w:r>
  </w:p>
  <w:p w14:paraId="7E95B514" w14:textId="0889F608" w:rsidR="000247F3" w:rsidRDefault="000247F3" w:rsidP="000247F3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FACULDADE DE SAÚDE PÚBLICA</w:t>
    </w:r>
  </w:p>
  <w:p w14:paraId="2FB05372" w14:textId="77777777" w:rsidR="00734842" w:rsidRDefault="00734842" w:rsidP="000247F3">
    <w:pPr>
      <w:pStyle w:val="Cabealho"/>
      <w:jc w:val="center"/>
      <w:rPr>
        <w:rFonts w:ascii="Arial" w:hAnsi="Arial" w:cs="Arial"/>
        <w:b/>
        <w:sz w:val="20"/>
        <w:szCs w:val="20"/>
      </w:rPr>
    </w:pPr>
  </w:p>
  <w:p w14:paraId="2F08C180" w14:textId="77777777" w:rsidR="000247F3" w:rsidRDefault="000247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F3"/>
    <w:rsid w:val="000247F3"/>
    <w:rsid w:val="002A68E4"/>
    <w:rsid w:val="0049184B"/>
    <w:rsid w:val="00734842"/>
    <w:rsid w:val="00900AA9"/>
    <w:rsid w:val="009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C5B0"/>
  <w15:chartTrackingRefBased/>
  <w15:docId w15:val="{9C0FD54E-BC61-4AEF-96BE-8D8B37D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F3"/>
    <w:pPr>
      <w:spacing w:line="256" w:lineRule="auto"/>
    </w:pPr>
    <w:rPr>
      <w:rFonts w:ascii="Calibri" w:eastAsia="Calibri" w:hAnsi="Calibri" w:cs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47F3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7F3"/>
    <w:rPr>
      <w:rFonts w:ascii="Calibri" w:eastAsia="Calibri" w:hAnsi="Calibri" w:cs="SimSun"/>
    </w:rPr>
  </w:style>
  <w:style w:type="paragraph" w:styleId="Rodap">
    <w:name w:val="footer"/>
    <w:basedOn w:val="Normal"/>
    <w:link w:val="RodapChar"/>
    <w:uiPriority w:val="99"/>
    <w:unhideWhenUsed/>
    <w:rsid w:val="0002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7F3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Lopes Medeiros</dc:creator>
  <cp:keywords/>
  <dc:description/>
  <cp:lastModifiedBy>Adriane Lopes Medeiros</cp:lastModifiedBy>
  <cp:revision>2</cp:revision>
  <dcterms:created xsi:type="dcterms:W3CDTF">2022-04-26T19:29:00Z</dcterms:created>
  <dcterms:modified xsi:type="dcterms:W3CDTF">2022-04-26T19:29:00Z</dcterms:modified>
</cp:coreProperties>
</file>