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5C92E" w14:textId="4992A9FD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1° Semana (05/04/22): Checar se o medicamento e o detentor do registro de medicamentos atendem à legislação para ser comercializado no Brasil, o mecanismo de ação e se há protocolos clínicos já disponíveis, que recomendam o uso deste medicamento.</w:t>
      </w:r>
    </w:p>
    <w:p w14:paraId="0A13BB89" w14:textId="52885490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2° Semana (08/04/22): Análise da efetividade e segurança do medicamento. Vamos ver se há relatórios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farmacovigilância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disponíveis, alguma ação de fiscalização nos últimos cinco anos realizada pela ANVISA e se há alertas de segurança emitidos. </w:t>
      </w:r>
    </w:p>
    <w:p w14:paraId="320E37BC" w14:textId="2C6FA947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3° Semana (1</w:t>
      </w:r>
      <w:r w:rsidR="0077713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C736C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/22): </w:t>
      </w:r>
      <w:r w:rsidR="00777138">
        <w:rPr>
          <w:rFonts w:ascii="Times New Roman" w:eastAsia="Times New Roman" w:hAnsi="Times New Roman" w:cs="Times New Roman"/>
          <w:sz w:val="24"/>
          <w:szCs w:val="24"/>
        </w:rPr>
        <w:t>Análise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7138">
        <w:rPr>
          <w:rFonts w:ascii="Times New Roman" w:eastAsia="Times New Roman" w:hAnsi="Times New Roman" w:cs="Times New Roman"/>
          <w:sz w:val="24"/>
          <w:szCs w:val="24"/>
        </w:rPr>
        <w:t>causalidade do medicamento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7CED47" w14:textId="6FA6A758" w:rsidR="00975719" w:rsidRDefault="00626E9A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975719">
        <w:rPr>
          <w:rFonts w:ascii="Times New Roman" w:eastAsia="Times New Roman" w:hAnsi="Times New Roman" w:cs="Times New Roman"/>
          <w:sz w:val="24"/>
          <w:szCs w:val="24"/>
        </w:rPr>
        <w:t>° Semana (</w:t>
      </w:r>
      <w:r w:rsidR="00777138">
        <w:rPr>
          <w:rFonts w:ascii="Times New Roman" w:eastAsia="Times New Roman" w:hAnsi="Times New Roman" w:cs="Times New Roman"/>
          <w:sz w:val="24"/>
          <w:szCs w:val="24"/>
        </w:rPr>
        <w:t>26</w:t>
      </w:r>
      <w:r w:rsidR="00975719">
        <w:rPr>
          <w:rFonts w:ascii="Times New Roman" w:eastAsia="Times New Roman" w:hAnsi="Times New Roman" w:cs="Times New Roman"/>
          <w:sz w:val="24"/>
          <w:szCs w:val="24"/>
        </w:rPr>
        <w:t>/0</w:t>
      </w:r>
      <w:r w:rsidR="00C736CF">
        <w:rPr>
          <w:rFonts w:ascii="Times New Roman" w:eastAsia="Times New Roman" w:hAnsi="Times New Roman" w:cs="Times New Roman"/>
          <w:sz w:val="24"/>
          <w:szCs w:val="24"/>
        </w:rPr>
        <w:t>4</w:t>
      </w:r>
      <w:r w:rsidR="00975719">
        <w:rPr>
          <w:rFonts w:ascii="Times New Roman" w:eastAsia="Times New Roman" w:hAnsi="Times New Roman" w:cs="Times New Roman"/>
          <w:sz w:val="24"/>
          <w:szCs w:val="24"/>
        </w:rPr>
        <w:t>/22): Avaliação econômica e orçamentária do esquema terapêutico que inclui este medicamento. Vamos comparar com o tratamento que já temos disponível na rede.</w:t>
      </w:r>
    </w:p>
    <w:p w14:paraId="61A7AFA8" w14:textId="20022164" w:rsidR="00975719" w:rsidRDefault="00975719" w:rsidP="0097571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Quinta semana (</w:t>
      </w:r>
      <w:r w:rsidR="00C736C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77138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/0</w:t>
      </w:r>
      <w:r w:rsidR="00C736CF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  <w:r w:rsidR="00777138">
        <w:rPr>
          <w:rFonts w:ascii="Times New Roman" w:eastAsia="Times New Roman" w:hAnsi="Times New Roman" w:cs="Times New Roman"/>
          <w:sz w:val="24"/>
          <w:szCs w:val="24"/>
        </w:rPr>
        <w:t>): Relatório da deliberação</w:t>
      </w:r>
    </w:p>
    <w:p w14:paraId="2FF06D67" w14:textId="77777777" w:rsidR="002837E7" w:rsidRDefault="002837E7"/>
    <w:sectPr w:rsidR="002837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19"/>
    <w:rsid w:val="002837E7"/>
    <w:rsid w:val="00381759"/>
    <w:rsid w:val="0046221B"/>
    <w:rsid w:val="00626E9A"/>
    <w:rsid w:val="00777138"/>
    <w:rsid w:val="00975719"/>
    <w:rsid w:val="00B17701"/>
    <w:rsid w:val="00BF1E7A"/>
    <w:rsid w:val="00BF7A23"/>
    <w:rsid w:val="00C7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CB1727"/>
  <w15:chartTrackingRefBased/>
  <w15:docId w15:val="{5392E7A4-D0C7-BA4D-84B9-6B6758A2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19"/>
    <w:pPr>
      <w:spacing w:after="160" w:line="259" w:lineRule="auto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JEDERSON DONIZETE ZUCHI</dc:creator>
  <cp:keywords/>
  <dc:description/>
  <cp:lastModifiedBy>JEDERSON DONIZETE ZUCHI</cp:lastModifiedBy>
  <cp:revision>2</cp:revision>
  <dcterms:created xsi:type="dcterms:W3CDTF">2022-04-01T18:21:00Z</dcterms:created>
  <dcterms:modified xsi:type="dcterms:W3CDTF">2022-04-01T18:21:00Z</dcterms:modified>
</cp:coreProperties>
</file>