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9B6E2" w14:textId="2C7727CD" w:rsidR="006469E7" w:rsidRPr="001A4968" w:rsidRDefault="001A4968" w:rsidP="001A4968">
      <w:pPr>
        <w:jc w:val="center"/>
        <w:rPr>
          <w:b/>
          <w:bCs/>
          <w:sz w:val="32"/>
          <w:szCs w:val="32"/>
          <w:lang w:val="en-GB"/>
        </w:rPr>
      </w:pPr>
      <w:r w:rsidRPr="001A4968">
        <w:rPr>
          <w:b/>
          <w:bCs/>
          <w:sz w:val="32"/>
          <w:szCs w:val="32"/>
          <w:lang w:val="en-GB"/>
        </w:rPr>
        <w:t>DISCIPLINA PG-FSP 2021</w:t>
      </w:r>
    </w:p>
    <w:p w14:paraId="723EB9A3" w14:textId="431C5B08" w:rsidR="001A4968" w:rsidRPr="001A4968" w:rsidRDefault="001A4968" w:rsidP="001A4968">
      <w:pPr>
        <w:jc w:val="center"/>
        <w:rPr>
          <w:b/>
          <w:bCs/>
          <w:sz w:val="32"/>
          <w:szCs w:val="32"/>
          <w:lang w:val="en-GB"/>
        </w:rPr>
      </w:pPr>
      <w:r w:rsidRPr="001A4968">
        <w:rPr>
          <w:b/>
          <w:bCs/>
          <w:sz w:val="32"/>
          <w:szCs w:val="32"/>
          <w:lang w:val="en-GB"/>
        </w:rPr>
        <w:t>BIBLIOGRAFIA DE REFERÊNCIA</w:t>
      </w:r>
    </w:p>
    <w:p w14:paraId="31DD2BEE" w14:textId="42F2C451" w:rsidR="001A4968" w:rsidRPr="001A4968" w:rsidRDefault="001A4968" w:rsidP="001A4968">
      <w:pPr>
        <w:jc w:val="center"/>
        <w:rPr>
          <w:b/>
          <w:bCs/>
          <w:sz w:val="32"/>
          <w:szCs w:val="32"/>
          <w:lang w:val="pt-BR"/>
        </w:rPr>
      </w:pPr>
      <w:r w:rsidRPr="001A4968">
        <w:rPr>
          <w:b/>
          <w:bCs/>
          <w:sz w:val="32"/>
          <w:szCs w:val="32"/>
          <w:lang w:val="pt-BR"/>
        </w:rPr>
        <w:t>AULA: ENVELHECIMENTO: ASPECTOS BIO-FUNCIONAIS</w:t>
      </w:r>
    </w:p>
    <w:p w14:paraId="76622AAB" w14:textId="75AD3152" w:rsidR="001A4968" w:rsidRPr="001A4968" w:rsidRDefault="001A4968" w:rsidP="001A4968">
      <w:pPr>
        <w:jc w:val="center"/>
        <w:rPr>
          <w:b/>
          <w:bCs/>
          <w:sz w:val="32"/>
          <w:szCs w:val="32"/>
          <w:lang w:val="pt-BR"/>
        </w:rPr>
      </w:pPr>
      <w:r w:rsidRPr="001A4968">
        <w:rPr>
          <w:b/>
          <w:bCs/>
          <w:sz w:val="32"/>
          <w:szCs w:val="32"/>
          <w:lang w:val="pt-BR"/>
        </w:rPr>
        <w:t>Sérgio Márcio Pacheco Paschoal</w:t>
      </w:r>
    </w:p>
    <w:p w14:paraId="651754E7" w14:textId="77777777" w:rsidR="001A4968" w:rsidRPr="001A4968" w:rsidRDefault="001A4968" w:rsidP="001A4968">
      <w:pPr>
        <w:pStyle w:val="PargrafodaLista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1A4968">
        <w:rPr>
          <w:sz w:val="24"/>
          <w:szCs w:val="24"/>
          <w:lang w:val="pt-BR"/>
        </w:rPr>
        <w:t xml:space="preserve">Brasil. Ministério da Saúde. Secretaria de Atenção à Saúde Departamento de Ações Programáticas e Estratégicas. Orientações técnicas para a implementação de Linha de Cuidado para Atenção Integral à Saúde da Pessoa Idosa no Sistema Único de Saúde – SUS [recurso eletrônico] / Ministério da Saúde, Secretaria de Atenção à Saúde, Departamento de Ações Programáticas e Estratégicas. – </w:t>
      </w:r>
      <w:proofErr w:type="gramStart"/>
      <w:r w:rsidRPr="001A4968">
        <w:rPr>
          <w:sz w:val="24"/>
          <w:szCs w:val="24"/>
          <w:lang w:val="pt-BR"/>
        </w:rPr>
        <w:t>Brasília :</w:t>
      </w:r>
      <w:proofErr w:type="gramEnd"/>
      <w:r w:rsidRPr="001A4968">
        <w:rPr>
          <w:sz w:val="24"/>
          <w:szCs w:val="24"/>
          <w:lang w:val="pt-BR"/>
        </w:rPr>
        <w:t xml:space="preserve"> Ministério da Saúde, 2018. 91 </w:t>
      </w:r>
      <w:proofErr w:type="gramStart"/>
      <w:r w:rsidRPr="001A4968">
        <w:rPr>
          <w:sz w:val="24"/>
          <w:szCs w:val="24"/>
          <w:lang w:val="pt-BR"/>
        </w:rPr>
        <w:t>p. :</w:t>
      </w:r>
      <w:proofErr w:type="gramEnd"/>
      <w:r w:rsidRPr="001A4968">
        <w:rPr>
          <w:sz w:val="24"/>
          <w:szCs w:val="24"/>
          <w:lang w:val="pt-BR"/>
        </w:rPr>
        <w:t xml:space="preserve"> il.</w:t>
      </w:r>
    </w:p>
    <w:p w14:paraId="1FE752A2" w14:textId="77777777" w:rsidR="001A4968" w:rsidRPr="001A4968" w:rsidRDefault="001A4968" w:rsidP="001A4968">
      <w:pPr>
        <w:pStyle w:val="PargrafodaLista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1A4968">
        <w:rPr>
          <w:sz w:val="24"/>
          <w:szCs w:val="24"/>
          <w:lang w:val="pt-BR"/>
        </w:rPr>
        <w:t xml:space="preserve">Brasil. Ministério da Saúde. </w:t>
      </w:r>
      <w:r w:rsidRPr="001A4968">
        <w:rPr>
          <w:b/>
          <w:bCs/>
          <w:sz w:val="24"/>
          <w:szCs w:val="24"/>
          <w:lang w:val="pt-BR"/>
        </w:rPr>
        <w:t>Diretrizes para o Cuidado das Pessoas Idosas no SUS</w:t>
      </w:r>
      <w:r w:rsidRPr="001A4968">
        <w:rPr>
          <w:sz w:val="24"/>
          <w:szCs w:val="24"/>
          <w:lang w:val="pt-BR"/>
        </w:rPr>
        <w:t>: proposta de modelo de atenção integral. Brasília: Ministério da Saúde, 2014a.</w:t>
      </w:r>
    </w:p>
    <w:p w14:paraId="1783830F" w14:textId="795A43C0" w:rsidR="001A4968" w:rsidRPr="001A4968" w:rsidRDefault="001A4968" w:rsidP="001A4968">
      <w:pPr>
        <w:pStyle w:val="PargrafodaLista"/>
        <w:numPr>
          <w:ilvl w:val="0"/>
          <w:numId w:val="1"/>
        </w:numPr>
        <w:jc w:val="both"/>
        <w:rPr>
          <w:sz w:val="24"/>
          <w:szCs w:val="24"/>
          <w:lang w:val="pt-BR"/>
        </w:rPr>
      </w:pPr>
      <w:r w:rsidRPr="001A4968">
        <w:rPr>
          <w:sz w:val="24"/>
          <w:szCs w:val="24"/>
          <w:lang w:val="pt-BR"/>
        </w:rPr>
        <w:t xml:space="preserve">Lourenço RA, </w:t>
      </w:r>
      <w:proofErr w:type="gramStart"/>
      <w:r w:rsidRPr="001A4968">
        <w:rPr>
          <w:sz w:val="24"/>
          <w:szCs w:val="24"/>
          <w:lang w:val="pt-BR"/>
        </w:rPr>
        <w:t>Sanchez</w:t>
      </w:r>
      <w:proofErr w:type="gramEnd"/>
      <w:r w:rsidRPr="001A4968">
        <w:rPr>
          <w:sz w:val="24"/>
          <w:szCs w:val="24"/>
          <w:lang w:val="pt-BR"/>
        </w:rPr>
        <w:t xml:space="preserve"> MAS, Perez M. Instrumentos de Rastreio da Incapacidade Funcional.</w:t>
      </w:r>
      <w:r>
        <w:rPr>
          <w:sz w:val="24"/>
          <w:szCs w:val="24"/>
          <w:lang w:val="pt-BR"/>
        </w:rPr>
        <w:t xml:space="preserve"> </w:t>
      </w:r>
      <w:r w:rsidRPr="001A4968">
        <w:rPr>
          <w:sz w:val="24"/>
          <w:szCs w:val="24"/>
          <w:lang w:val="pt-BR"/>
        </w:rPr>
        <w:t xml:space="preserve">Uma proposta de uso racional. In: Freitas EV, </w:t>
      </w:r>
      <w:proofErr w:type="spellStart"/>
      <w:r w:rsidRPr="001A4968">
        <w:rPr>
          <w:sz w:val="24"/>
          <w:szCs w:val="24"/>
          <w:lang w:val="pt-BR"/>
        </w:rPr>
        <w:t>Py</w:t>
      </w:r>
      <w:proofErr w:type="spellEnd"/>
      <w:r w:rsidRPr="001A4968">
        <w:rPr>
          <w:sz w:val="24"/>
          <w:szCs w:val="24"/>
          <w:lang w:val="pt-BR"/>
        </w:rPr>
        <w:t xml:space="preserve"> L. Tratado de Geriatria e Gerontologia. 4ª Ed. Rio de Janeiro: Guanabara Koogan, 2016.</w:t>
      </w:r>
    </w:p>
    <w:p w14:paraId="0AE8F993" w14:textId="3ADCB93B" w:rsidR="001A4968" w:rsidRPr="001A4968" w:rsidRDefault="001A4968" w:rsidP="001A4968">
      <w:pPr>
        <w:pStyle w:val="PargrafodaLista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1A4968">
        <w:rPr>
          <w:sz w:val="24"/>
          <w:szCs w:val="24"/>
          <w:lang w:val="pt-BR"/>
        </w:rPr>
        <w:t>Mendes, Eugênio Vilaça. O cuidado das condições crônicas na atenção primária à saúde: o imperativo da consolidação da estratégia da saúde da família. / Eugênio Vilaça Mendes. Brasília: Organização Pan-Americana da Saúde, 2012.</w:t>
      </w:r>
      <w:r>
        <w:rPr>
          <w:sz w:val="24"/>
          <w:szCs w:val="24"/>
          <w:lang w:val="pt-BR"/>
        </w:rPr>
        <w:t xml:space="preserve"> </w:t>
      </w:r>
      <w:r w:rsidRPr="001A4968">
        <w:rPr>
          <w:sz w:val="24"/>
          <w:szCs w:val="24"/>
          <w:lang w:val="pt-BR"/>
        </w:rPr>
        <w:t>512 p.: il.</w:t>
      </w:r>
    </w:p>
    <w:p w14:paraId="104077A4" w14:textId="14CD938A" w:rsidR="004A5ECC" w:rsidRPr="004A5ECC" w:rsidRDefault="004A5ECC" w:rsidP="004A5ECC">
      <w:pPr>
        <w:pStyle w:val="PargrafodaLista"/>
        <w:numPr>
          <w:ilvl w:val="0"/>
          <w:numId w:val="1"/>
        </w:numPr>
        <w:jc w:val="both"/>
        <w:rPr>
          <w:sz w:val="24"/>
          <w:szCs w:val="24"/>
          <w:lang w:val="pt-BR"/>
        </w:rPr>
      </w:pPr>
      <w:r w:rsidRPr="004A5ECC">
        <w:rPr>
          <w:sz w:val="24"/>
          <w:szCs w:val="24"/>
          <w:lang w:val="pt-BR"/>
        </w:rPr>
        <w:t>Cuidados inovadores para condições crônicas: componentes estruturais de ação: relatório mundial /</w:t>
      </w:r>
      <w:r>
        <w:rPr>
          <w:sz w:val="24"/>
          <w:szCs w:val="24"/>
          <w:lang w:val="pt-BR"/>
        </w:rPr>
        <w:t xml:space="preserve"> </w:t>
      </w:r>
      <w:r w:rsidRPr="004A5ECC">
        <w:rPr>
          <w:sz w:val="24"/>
          <w:szCs w:val="24"/>
          <w:lang w:val="pt-BR"/>
        </w:rPr>
        <w:t>Organização Mundial da Saúde – Brasília, 2003</w:t>
      </w:r>
      <w:r w:rsidR="00B51764">
        <w:rPr>
          <w:sz w:val="24"/>
          <w:szCs w:val="24"/>
          <w:lang w:val="pt-BR"/>
        </w:rPr>
        <w:t>.</w:t>
      </w:r>
    </w:p>
    <w:p w14:paraId="6289D5CC" w14:textId="77777777" w:rsidR="00B51764" w:rsidRPr="00B51764" w:rsidRDefault="00B51764" w:rsidP="00B51764">
      <w:pPr>
        <w:pStyle w:val="PargrafodaLista"/>
        <w:numPr>
          <w:ilvl w:val="0"/>
          <w:numId w:val="1"/>
        </w:numPr>
        <w:jc w:val="both"/>
        <w:rPr>
          <w:sz w:val="24"/>
          <w:szCs w:val="24"/>
          <w:lang w:val="pt-BR"/>
        </w:rPr>
      </w:pPr>
      <w:r w:rsidRPr="00B51764">
        <w:rPr>
          <w:sz w:val="24"/>
          <w:szCs w:val="24"/>
          <w:lang w:val="pt-BR"/>
        </w:rPr>
        <w:t xml:space="preserve">São Paulo - SP. Secretaria da Saúde da cidade de São </w:t>
      </w:r>
      <w:proofErr w:type="gramStart"/>
      <w:r w:rsidRPr="00B51764">
        <w:rPr>
          <w:sz w:val="24"/>
          <w:szCs w:val="24"/>
          <w:lang w:val="pt-BR"/>
        </w:rPr>
        <w:t>Paulo .</w:t>
      </w:r>
      <w:proofErr w:type="gramEnd"/>
      <w:r w:rsidRPr="00B51764">
        <w:rPr>
          <w:sz w:val="24"/>
          <w:szCs w:val="24"/>
          <w:lang w:val="pt-BR"/>
        </w:rPr>
        <w:t xml:space="preserve"> Coordenação de Atenção Básica. Área Técnica de Saúde da Pessoa Idosa. Documento Norteador da Unidade de Referencia à Saúde do Idoso do Município de São Paulo, 2016. </w:t>
      </w:r>
    </w:p>
    <w:p w14:paraId="104A1A84" w14:textId="4D4E8B43" w:rsidR="001A4968" w:rsidRPr="00910557" w:rsidRDefault="00910557" w:rsidP="001A4968">
      <w:pPr>
        <w:pStyle w:val="PargrafodaLista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910557">
        <w:rPr>
          <w:sz w:val="24"/>
          <w:szCs w:val="24"/>
        </w:rPr>
        <w:t>World report on ageing and health</w:t>
      </w:r>
      <w:r w:rsidRPr="00910557">
        <w:rPr>
          <w:sz w:val="24"/>
          <w:szCs w:val="24"/>
        </w:rPr>
        <w:t xml:space="preserve">. </w:t>
      </w:r>
      <w:r w:rsidRPr="00910557">
        <w:rPr>
          <w:sz w:val="24"/>
          <w:szCs w:val="24"/>
        </w:rPr>
        <w:t>© World Health Organization 2015</w:t>
      </w:r>
      <w:r>
        <w:rPr>
          <w:sz w:val="24"/>
          <w:szCs w:val="24"/>
        </w:rPr>
        <w:t>.</w:t>
      </w:r>
    </w:p>
    <w:p w14:paraId="14D02409" w14:textId="2FFE63B6" w:rsidR="00910557" w:rsidRPr="00910557" w:rsidRDefault="00910557" w:rsidP="00910557">
      <w:pPr>
        <w:pStyle w:val="PargrafodaLista"/>
        <w:numPr>
          <w:ilvl w:val="0"/>
          <w:numId w:val="1"/>
        </w:numPr>
        <w:jc w:val="both"/>
        <w:rPr>
          <w:sz w:val="24"/>
          <w:szCs w:val="24"/>
          <w:lang w:val="pt-BR"/>
        </w:rPr>
      </w:pPr>
      <w:r w:rsidRPr="00910557">
        <w:rPr>
          <w:sz w:val="24"/>
          <w:szCs w:val="24"/>
          <w:lang w:val="pt-BR"/>
        </w:rPr>
        <w:t xml:space="preserve">Duarte YAO, Nunes DP, Corona LP, Lebrão ML. </w:t>
      </w:r>
      <w:r w:rsidRPr="00910557">
        <w:rPr>
          <w:b/>
          <w:bCs/>
          <w:sz w:val="24"/>
          <w:szCs w:val="24"/>
          <w:lang w:val="pt-BR"/>
        </w:rPr>
        <w:t>Como estão sendo cuidados os idosos frágeis de</w:t>
      </w:r>
      <w:r>
        <w:rPr>
          <w:b/>
          <w:bCs/>
          <w:sz w:val="24"/>
          <w:szCs w:val="24"/>
          <w:lang w:val="pt-BR"/>
        </w:rPr>
        <w:t xml:space="preserve"> </w:t>
      </w:r>
      <w:r w:rsidRPr="00910557">
        <w:rPr>
          <w:b/>
          <w:bCs/>
          <w:sz w:val="24"/>
          <w:szCs w:val="24"/>
          <w:lang w:val="pt-BR"/>
        </w:rPr>
        <w:t>São Paulo? A visão mostrada pelo estudo SABE (Saúde, Bem-Estar e Envelhecimento)</w:t>
      </w:r>
      <w:r w:rsidRPr="00910557">
        <w:rPr>
          <w:sz w:val="24"/>
          <w:szCs w:val="24"/>
          <w:lang w:val="pt-BR"/>
        </w:rPr>
        <w:t>.</w:t>
      </w:r>
      <w:r>
        <w:rPr>
          <w:sz w:val="24"/>
          <w:szCs w:val="24"/>
          <w:lang w:val="pt-BR"/>
        </w:rPr>
        <w:t xml:space="preserve"> </w:t>
      </w:r>
      <w:r w:rsidRPr="00910557">
        <w:rPr>
          <w:sz w:val="24"/>
          <w:szCs w:val="24"/>
          <w:lang w:val="pt-BR"/>
        </w:rPr>
        <w:t xml:space="preserve">In: Cuidados de longa duração para a população </w:t>
      </w:r>
      <w:proofErr w:type="gramStart"/>
      <w:r w:rsidRPr="00910557">
        <w:rPr>
          <w:sz w:val="24"/>
          <w:szCs w:val="24"/>
          <w:lang w:val="pt-BR"/>
        </w:rPr>
        <w:t>idosa :</w:t>
      </w:r>
      <w:proofErr w:type="gramEnd"/>
      <w:r w:rsidRPr="00910557">
        <w:rPr>
          <w:sz w:val="24"/>
          <w:szCs w:val="24"/>
          <w:lang w:val="pt-BR"/>
        </w:rPr>
        <w:t xml:space="preserve"> um novo risco social a ser</w:t>
      </w:r>
      <w:r>
        <w:rPr>
          <w:sz w:val="24"/>
          <w:szCs w:val="24"/>
          <w:lang w:val="pt-BR"/>
        </w:rPr>
        <w:t xml:space="preserve"> </w:t>
      </w:r>
      <w:r w:rsidRPr="00910557">
        <w:rPr>
          <w:sz w:val="24"/>
          <w:szCs w:val="24"/>
          <w:lang w:val="pt-BR"/>
        </w:rPr>
        <w:t>assumido? / Ana Amélia Camarano (Organizadora) – Rio de Janeiro: Ipea, 2010.</w:t>
      </w:r>
    </w:p>
    <w:p w14:paraId="7F74E91D" w14:textId="21EBA9E9" w:rsidR="002A28BB" w:rsidRPr="002A28BB" w:rsidRDefault="002A28BB" w:rsidP="002A28BB">
      <w:pPr>
        <w:pStyle w:val="PargrafodaLista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proofErr w:type="spellStart"/>
      <w:r w:rsidRPr="002A28BB">
        <w:rPr>
          <w:sz w:val="24"/>
          <w:szCs w:val="24"/>
          <w:lang w:val="en-GB"/>
        </w:rPr>
        <w:t>Kalache</w:t>
      </w:r>
      <w:proofErr w:type="spellEnd"/>
      <w:r w:rsidRPr="002A28BB">
        <w:rPr>
          <w:sz w:val="24"/>
          <w:szCs w:val="24"/>
          <w:lang w:val="en-GB"/>
        </w:rPr>
        <w:t xml:space="preserve"> A, </w:t>
      </w:r>
      <w:proofErr w:type="spellStart"/>
      <w:r w:rsidRPr="002A28BB">
        <w:rPr>
          <w:sz w:val="24"/>
          <w:szCs w:val="24"/>
          <w:lang w:val="en-GB"/>
        </w:rPr>
        <w:t>Kickbuch</w:t>
      </w:r>
      <w:proofErr w:type="spellEnd"/>
      <w:r w:rsidRPr="002A28BB">
        <w:rPr>
          <w:sz w:val="24"/>
          <w:szCs w:val="24"/>
          <w:lang w:val="en-GB"/>
        </w:rPr>
        <w:t xml:space="preserve"> I.</w:t>
      </w:r>
      <w:r w:rsidRPr="002A28BB">
        <w:rPr>
          <w:sz w:val="24"/>
          <w:szCs w:val="24"/>
        </w:rPr>
        <w:t xml:space="preserve"> A global strategy for healthy ageing. World Health. </w:t>
      </w:r>
      <w:proofErr w:type="gramStart"/>
      <w:r w:rsidRPr="002A28BB">
        <w:rPr>
          <w:sz w:val="24"/>
          <w:szCs w:val="24"/>
        </w:rPr>
        <w:t>1997;50:4</w:t>
      </w:r>
      <w:proofErr w:type="gramEnd"/>
      <w:r w:rsidRPr="002A28BB">
        <w:rPr>
          <w:sz w:val="24"/>
          <w:szCs w:val="24"/>
        </w:rPr>
        <w:t>.</w:t>
      </w:r>
      <w:r w:rsidRPr="002A28BB">
        <w:rPr>
          <w:sz w:val="24"/>
          <w:szCs w:val="24"/>
          <w:lang w:val="en-GB"/>
        </w:rPr>
        <w:t>; In: OMS, 2005</w:t>
      </w:r>
      <w:r>
        <w:rPr>
          <w:sz w:val="24"/>
          <w:szCs w:val="24"/>
          <w:lang w:val="en-GB"/>
        </w:rPr>
        <w:t>.</w:t>
      </w:r>
    </w:p>
    <w:p w14:paraId="19728479" w14:textId="2C1F0EA7" w:rsidR="002A28BB" w:rsidRPr="002A28BB" w:rsidRDefault="002A28BB" w:rsidP="002A28BB">
      <w:pPr>
        <w:pStyle w:val="PargrafodaLista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2A28BB">
        <w:rPr>
          <w:sz w:val="24"/>
          <w:szCs w:val="24"/>
          <w:lang w:val="es-ES_tradnl"/>
        </w:rPr>
        <w:t xml:space="preserve">Salgado A, González-Montalvo JI. Importancia de la valoración geriátrica. </w:t>
      </w:r>
      <w:proofErr w:type="gramStart"/>
      <w:r w:rsidRPr="002A28BB">
        <w:rPr>
          <w:sz w:val="24"/>
          <w:szCs w:val="24"/>
          <w:lang w:val="es-ES_tradnl"/>
        </w:rPr>
        <w:t>En :</w:t>
      </w:r>
      <w:proofErr w:type="gramEnd"/>
      <w:r w:rsidRPr="002A28BB">
        <w:rPr>
          <w:sz w:val="24"/>
          <w:szCs w:val="24"/>
          <w:lang w:val="es-ES_tradnl"/>
        </w:rPr>
        <w:t xml:space="preserve"> Valoración del paciente anciano. </w:t>
      </w:r>
      <w:proofErr w:type="spellStart"/>
      <w:r w:rsidRPr="002A28BB">
        <w:rPr>
          <w:sz w:val="24"/>
          <w:szCs w:val="24"/>
          <w:lang w:val="es-ES_tradnl"/>
        </w:rPr>
        <w:t>eds</w:t>
      </w:r>
      <w:proofErr w:type="spellEnd"/>
      <w:r w:rsidRPr="002A28BB">
        <w:rPr>
          <w:sz w:val="24"/>
          <w:szCs w:val="24"/>
          <w:lang w:val="es-ES_tradnl"/>
        </w:rPr>
        <w:t xml:space="preserve">: Salgado A, Alarcón </w:t>
      </w:r>
      <w:proofErr w:type="spellStart"/>
      <w:r w:rsidRPr="002A28BB">
        <w:rPr>
          <w:sz w:val="24"/>
          <w:szCs w:val="24"/>
          <w:lang w:val="es-ES_tradnl"/>
        </w:rPr>
        <w:t>MªT</w:t>
      </w:r>
      <w:proofErr w:type="spellEnd"/>
      <w:r w:rsidRPr="002A28BB">
        <w:rPr>
          <w:sz w:val="24"/>
          <w:szCs w:val="24"/>
          <w:lang w:val="es-ES_tradnl"/>
        </w:rPr>
        <w:t xml:space="preserve">. Masson, S.A. Barcelona, </w:t>
      </w:r>
      <w:proofErr w:type="spellStart"/>
      <w:r w:rsidRPr="002A28BB">
        <w:rPr>
          <w:sz w:val="24"/>
          <w:szCs w:val="24"/>
          <w:lang w:val="es-ES_tradnl"/>
        </w:rPr>
        <w:t>pp</w:t>
      </w:r>
      <w:proofErr w:type="spellEnd"/>
      <w:r w:rsidRPr="002A28BB">
        <w:rPr>
          <w:sz w:val="24"/>
          <w:szCs w:val="24"/>
          <w:lang w:val="es-ES_tradnl"/>
        </w:rPr>
        <w:t xml:space="preserve"> 1-18.</w:t>
      </w:r>
    </w:p>
    <w:p w14:paraId="37FBACDF" w14:textId="0C651220" w:rsidR="00816D45" w:rsidRPr="00816D45" w:rsidRDefault="00816D45" w:rsidP="00816D45">
      <w:pPr>
        <w:pStyle w:val="PargrafodaLista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816D45">
        <w:rPr>
          <w:sz w:val="24"/>
          <w:szCs w:val="24"/>
        </w:rPr>
        <w:t xml:space="preserve">Inouye SK, </w:t>
      </w:r>
      <w:proofErr w:type="spellStart"/>
      <w:r w:rsidRPr="00816D45">
        <w:rPr>
          <w:sz w:val="24"/>
          <w:szCs w:val="24"/>
        </w:rPr>
        <w:t>Studenski</w:t>
      </w:r>
      <w:proofErr w:type="spellEnd"/>
      <w:r w:rsidRPr="00816D45">
        <w:rPr>
          <w:sz w:val="24"/>
          <w:szCs w:val="24"/>
        </w:rPr>
        <w:t xml:space="preserve"> S, Tinetti ME, </w:t>
      </w:r>
      <w:proofErr w:type="spellStart"/>
      <w:r w:rsidRPr="00816D45">
        <w:rPr>
          <w:sz w:val="24"/>
          <w:szCs w:val="24"/>
        </w:rPr>
        <w:t>Kuchel</w:t>
      </w:r>
      <w:proofErr w:type="spellEnd"/>
      <w:r w:rsidRPr="00816D45">
        <w:rPr>
          <w:sz w:val="24"/>
          <w:szCs w:val="24"/>
        </w:rPr>
        <w:t xml:space="preserve"> GA:</w:t>
      </w:r>
      <w:r>
        <w:rPr>
          <w:sz w:val="24"/>
          <w:szCs w:val="24"/>
        </w:rPr>
        <w:t xml:space="preserve"> </w:t>
      </w:r>
      <w:r w:rsidRPr="00816D45">
        <w:rPr>
          <w:sz w:val="24"/>
          <w:szCs w:val="24"/>
        </w:rPr>
        <w:t>Geriatric syndromes: clinical, research, and policy implications of a core geriatric concept.</w:t>
      </w:r>
      <w:r>
        <w:rPr>
          <w:sz w:val="24"/>
          <w:szCs w:val="24"/>
        </w:rPr>
        <w:t xml:space="preserve"> </w:t>
      </w:r>
      <w:r w:rsidRPr="00816D45">
        <w:rPr>
          <w:sz w:val="24"/>
          <w:szCs w:val="24"/>
          <w:lang w:val="pt-BR"/>
        </w:rPr>
        <w:t xml:space="preserve">J Am </w:t>
      </w:r>
      <w:proofErr w:type="spellStart"/>
      <w:r w:rsidRPr="00816D45">
        <w:rPr>
          <w:sz w:val="24"/>
          <w:szCs w:val="24"/>
          <w:lang w:val="pt-BR"/>
        </w:rPr>
        <w:t>Geriatr</w:t>
      </w:r>
      <w:proofErr w:type="spellEnd"/>
      <w:r w:rsidRPr="00816D45">
        <w:rPr>
          <w:sz w:val="24"/>
          <w:szCs w:val="24"/>
          <w:lang w:val="pt-BR"/>
        </w:rPr>
        <w:t xml:space="preserve"> </w:t>
      </w:r>
      <w:proofErr w:type="spellStart"/>
      <w:r w:rsidRPr="00816D45">
        <w:rPr>
          <w:sz w:val="24"/>
          <w:szCs w:val="24"/>
          <w:lang w:val="pt-BR"/>
        </w:rPr>
        <w:t>Soc</w:t>
      </w:r>
      <w:proofErr w:type="spellEnd"/>
      <w:r w:rsidRPr="00816D45">
        <w:rPr>
          <w:sz w:val="24"/>
          <w:szCs w:val="24"/>
          <w:lang w:val="pt-BR"/>
        </w:rPr>
        <w:t xml:space="preserve"> 2007; 55: 780–791.</w:t>
      </w:r>
    </w:p>
    <w:p w14:paraId="640541CE" w14:textId="77777777" w:rsidR="00705F14" w:rsidRPr="00705F14" w:rsidRDefault="00705F14" w:rsidP="00705F14">
      <w:pPr>
        <w:pStyle w:val="PargrafodaLista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705F14">
        <w:rPr>
          <w:sz w:val="24"/>
          <w:szCs w:val="24"/>
          <w:lang w:val="en-GB"/>
        </w:rPr>
        <w:t xml:space="preserve">Hogan D, </w:t>
      </w:r>
      <w:proofErr w:type="spellStart"/>
      <w:r w:rsidRPr="00705F14">
        <w:rPr>
          <w:sz w:val="24"/>
          <w:szCs w:val="24"/>
          <w:lang w:val="en-GB"/>
        </w:rPr>
        <w:t>Macknight</w:t>
      </w:r>
      <w:proofErr w:type="spellEnd"/>
      <w:r w:rsidRPr="00705F14">
        <w:rPr>
          <w:sz w:val="24"/>
          <w:szCs w:val="24"/>
          <w:lang w:val="en-GB"/>
        </w:rPr>
        <w:t xml:space="preserve"> C, Bergman H. Models, </w:t>
      </w:r>
      <w:r w:rsidRPr="00705F14">
        <w:rPr>
          <w:sz w:val="24"/>
          <w:szCs w:val="24"/>
        </w:rPr>
        <w:t>definitions, and criteria of frailty. Aging Clin Exp Res.</w:t>
      </w:r>
      <w:r w:rsidRPr="00705F14">
        <w:rPr>
          <w:sz w:val="24"/>
          <w:szCs w:val="24"/>
          <w:lang w:val="pt-BR"/>
        </w:rPr>
        <w:t xml:space="preserve">2003;15 </w:t>
      </w:r>
      <w:proofErr w:type="spellStart"/>
      <w:r w:rsidRPr="00705F14">
        <w:rPr>
          <w:sz w:val="24"/>
          <w:szCs w:val="24"/>
          <w:lang w:val="pt-BR"/>
        </w:rPr>
        <w:t>Suppl</w:t>
      </w:r>
      <w:proofErr w:type="spellEnd"/>
      <w:r w:rsidRPr="00705F14">
        <w:rPr>
          <w:sz w:val="24"/>
          <w:szCs w:val="24"/>
          <w:lang w:val="pt-BR"/>
        </w:rPr>
        <w:t xml:space="preserve"> 3:2-29.</w:t>
      </w:r>
    </w:p>
    <w:p w14:paraId="285749E7" w14:textId="5E3D179F" w:rsidR="0009450D" w:rsidRPr="0009450D" w:rsidRDefault="0009450D" w:rsidP="0009450D">
      <w:pPr>
        <w:pStyle w:val="PargrafodaLista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09450D">
        <w:rPr>
          <w:sz w:val="24"/>
          <w:szCs w:val="24"/>
          <w:lang w:val="de-DE"/>
        </w:rPr>
        <w:t>Fried LP, Tangen C, Walston J, Newman AB, Hirsch C,</w:t>
      </w:r>
      <w:r>
        <w:rPr>
          <w:sz w:val="24"/>
          <w:szCs w:val="24"/>
          <w:lang w:val="de-DE"/>
        </w:rPr>
        <w:t xml:space="preserve"> </w:t>
      </w:r>
      <w:proofErr w:type="spellStart"/>
      <w:r w:rsidRPr="0009450D">
        <w:rPr>
          <w:sz w:val="24"/>
          <w:szCs w:val="24"/>
        </w:rPr>
        <w:t>Gottdiener</w:t>
      </w:r>
      <w:proofErr w:type="spellEnd"/>
      <w:r w:rsidRPr="0009450D">
        <w:rPr>
          <w:sz w:val="24"/>
          <w:szCs w:val="24"/>
        </w:rPr>
        <w:t xml:space="preserve"> J, et al. Frailty in older adults: evidence for</w:t>
      </w:r>
      <w:r>
        <w:rPr>
          <w:sz w:val="24"/>
          <w:szCs w:val="24"/>
        </w:rPr>
        <w:t xml:space="preserve"> </w:t>
      </w:r>
      <w:r w:rsidRPr="00C341ED">
        <w:rPr>
          <w:sz w:val="24"/>
          <w:szCs w:val="24"/>
          <w:lang w:val="en-GB"/>
        </w:rPr>
        <w:t xml:space="preserve">a phenotype. J </w:t>
      </w:r>
      <w:proofErr w:type="spellStart"/>
      <w:r w:rsidRPr="00C341ED">
        <w:rPr>
          <w:sz w:val="24"/>
          <w:szCs w:val="24"/>
          <w:lang w:val="en-GB"/>
        </w:rPr>
        <w:t>Gerontol</w:t>
      </w:r>
      <w:proofErr w:type="spellEnd"/>
      <w:r w:rsidRPr="00C341ED">
        <w:rPr>
          <w:sz w:val="24"/>
          <w:szCs w:val="24"/>
          <w:lang w:val="en-GB"/>
        </w:rPr>
        <w:t>. 2001;56</w:t>
      </w:r>
      <w:proofErr w:type="gramStart"/>
      <w:r w:rsidRPr="00C341ED">
        <w:rPr>
          <w:sz w:val="24"/>
          <w:szCs w:val="24"/>
          <w:lang w:val="en-GB"/>
        </w:rPr>
        <w:t>A(</w:t>
      </w:r>
      <w:proofErr w:type="gramEnd"/>
      <w:r w:rsidRPr="00C341ED">
        <w:rPr>
          <w:sz w:val="24"/>
          <w:szCs w:val="24"/>
          <w:lang w:val="en-GB"/>
        </w:rPr>
        <w:t>3):M146-56.</w:t>
      </w:r>
    </w:p>
    <w:p w14:paraId="3A0727ED" w14:textId="6573B948" w:rsidR="001A4968" w:rsidRPr="00C341ED" w:rsidRDefault="00C341ED" w:rsidP="001A4968">
      <w:pPr>
        <w:pStyle w:val="PargrafodaLista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C341ED">
        <w:rPr>
          <w:sz w:val="24"/>
          <w:szCs w:val="24"/>
          <w:lang w:val="pt-BR"/>
        </w:rPr>
        <w:t xml:space="preserve">Andrade JM, Duarte YAO, Alves LC, Andrade FCD, Souza-Junior PRB, Lima-Costa MF, et al. Perfil da fragilidade em adultos mais velhos brasileiros: ELSI-Brasil. </w:t>
      </w:r>
      <w:r w:rsidRPr="00C341ED">
        <w:rPr>
          <w:sz w:val="24"/>
          <w:szCs w:val="24"/>
        </w:rPr>
        <w:t xml:space="preserve">Rev </w:t>
      </w:r>
      <w:proofErr w:type="spellStart"/>
      <w:r w:rsidRPr="00C341ED">
        <w:rPr>
          <w:sz w:val="24"/>
          <w:szCs w:val="24"/>
        </w:rPr>
        <w:t>Saude</w:t>
      </w:r>
      <w:proofErr w:type="spellEnd"/>
      <w:r w:rsidRPr="00C341ED">
        <w:rPr>
          <w:sz w:val="24"/>
          <w:szCs w:val="24"/>
        </w:rPr>
        <w:t xml:space="preserve"> Publica. 2018;52 </w:t>
      </w:r>
      <w:proofErr w:type="spellStart"/>
      <w:r w:rsidRPr="00C341ED">
        <w:rPr>
          <w:sz w:val="24"/>
          <w:szCs w:val="24"/>
        </w:rPr>
        <w:t>Supl</w:t>
      </w:r>
      <w:proofErr w:type="spellEnd"/>
      <w:r w:rsidRPr="00C341ED">
        <w:rPr>
          <w:sz w:val="24"/>
          <w:szCs w:val="24"/>
        </w:rPr>
        <w:t xml:space="preserve"> 2:17s</w:t>
      </w:r>
      <w:r>
        <w:rPr>
          <w:sz w:val="24"/>
          <w:szCs w:val="24"/>
        </w:rPr>
        <w:t>.</w:t>
      </w:r>
    </w:p>
    <w:p w14:paraId="36430FD5" w14:textId="77777777" w:rsidR="0018326A" w:rsidRPr="0018326A" w:rsidRDefault="0018326A" w:rsidP="0018326A">
      <w:pPr>
        <w:pStyle w:val="PargrafodaLista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18326A">
        <w:rPr>
          <w:sz w:val="24"/>
          <w:szCs w:val="24"/>
          <w:lang w:val="en-GB"/>
        </w:rPr>
        <w:t xml:space="preserve">Bergman H, </w:t>
      </w:r>
      <w:proofErr w:type="spellStart"/>
      <w:r w:rsidRPr="0018326A">
        <w:rPr>
          <w:sz w:val="24"/>
          <w:szCs w:val="24"/>
          <w:lang w:val="en-GB"/>
        </w:rPr>
        <w:t>Ferrucci</w:t>
      </w:r>
      <w:proofErr w:type="spellEnd"/>
      <w:r w:rsidRPr="0018326A">
        <w:rPr>
          <w:sz w:val="24"/>
          <w:szCs w:val="24"/>
          <w:lang w:val="en-GB"/>
        </w:rPr>
        <w:t xml:space="preserve"> L, </w:t>
      </w:r>
      <w:proofErr w:type="spellStart"/>
      <w:r w:rsidRPr="0018326A">
        <w:rPr>
          <w:sz w:val="24"/>
          <w:szCs w:val="24"/>
          <w:lang w:val="en-GB"/>
        </w:rPr>
        <w:t>Guralnik</w:t>
      </w:r>
      <w:proofErr w:type="spellEnd"/>
      <w:r w:rsidRPr="0018326A">
        <w:rPr>
          <w:sz w:val="24"/>
          <w:szCs w:val="24"/>
          <w:lang w:val="en-GB"/>
        </w:rPr>
        <w:t xml:space="preserve"> J, Hogan DB, Hummel S, </w:t>
      </w:r>
      <w:proofErr w:type="spellStart"/>
      <w:r w:rsidRPr="0018326A">
        <w:rPr>
          <w:sz w:val="24"/>
          <w:szCs w:val="24"/>
        </w:rPr>
        <w:t>Karunananthan</w:t>
      </w:r>
      <w:proofErr w:type="spellEnd"/>
      <w:r w:rsidRPr="0018326A">
        <w:rPr>
          <w:sz w:val="24"/>
          <w:szCs w:val="24"/>
        </w:rPr>
        <w:t xml:space="preserve"> S, Wolfson C. Frailty: An Emerging Research and Clinical </w:t>
      </w:r>
      <w:r w:rsidRPr="0018326A">
        <w:rPr>
          <w:sz w:val="24"/>
          <w:szCs w:val="24"/>
          <w:lang w:val="en-GB"/>
        </w:rPr>
        <w:t xml:space="preserve">Paradigm—Issues and Controversies. </w:t>
      </w:r>
      <w:r w:rsidRPr="0018326A">
        <w:rPr>
          <w:sz w:val="24"/>
          <w:szCs w:val="24"/>
        </w:rPr>
        <w:t xml:space="preserve">Journal of Gerontology: MEDICAL SCIENCES </w:t>
      </w:r>
      <w:r w:rsidRPr="0018326A">
        <w:rPr>
          <w:sz w:val="24"/>
          <w:szCs w:val="24"/>
          <w:lang w:val="pt-BR"/>
        </w:rPr>
        <w:t>2007; Vol. 62A, No. 7, 731–737.</w:t>
      </w:r>
    </w:p>
    <w:p w14:paraId="06FEE512" w14:textId="77777777" w:rsidR="0018326A" w:rsidRPr="0018326A" w:rsidRDefault="0018326A" w:rsidP="0018326A">
      <w:pPr>
        <w:pStyle w:val="PargrafodaLista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18326A">
        <w:rPr>
          <w:sz w:val="24"/>
          <w:szCs w:val="24"/>
          <w:lang w:val="pt-BR"/>
        </w:rPr>
        <w:t xml:space="preserve">J.M. Bauer, C.C. </w:t>
      </w:r>
      <w:proofErr w:type="spellStart"/>
      <w:r w:rsidRPr="0018326A">
        <w:rPr>
          <w:sz w:val="24"/>
          <w:szCs w:val="24"/>
          <w:lang w:val="pt-BR"/>
        </w:rPr>
        <w:t>Sieber</w:t>
      </w:r>
      <w:proofErr w:type="spellEnd"/>
      <w:r w:rsidRPr="0018326A">
        <w:rPr>
          <w:sz w:val="24"/>
          <w:szCs w:val="24"/>
          <w:lang w:val="pt-BR"/>
        </w:rPr>
        <w:t xml:space="preserve">. </w:t>
      </w:r>
      <w:r w:rsidRPr="0018326A">
        <w:rPr>
          <w:sz w:val="24"/>
          <w:szCs w:val="24"/>
        </w:rPr>
        <w:t>Sarcopenia and frailty: A clinician’s controversial point of view.</w:t>
      </w:r>
      <w:r w:rsidRPr="0018326A">
        <w:rPr>
          <w:sz w:val="24"/>
          <w:szCs w:val="24"/>
          <w:lang w:val="en-GB"/>
        </w:rPr>
        <w:t xml:space="preserve"> </w:t>
      </w:r>
      <w:r w:rsidRPr="0018326A">
        <w:rPr>
          <w:sz w:val="24"/>
          <w:szCs w:val="24"/>
          <w:lang w:val="pt-BR"/>
        </w:rPr>
        <w:t xml:space="preserve">Experimental </w:t>
      </w:r>
      <w:proofErr w:type="spellStart"/>
      <w:r w:rsidRPr="0018326A">
        <w:rPr>
          <w:sz w:val="24"/>
          <w:szCs w:val="24"/>
          <w:lang w:val="pt-BR"/>
        </w:rPr>
        <w:t>Gerontology</w:t>
      </w:r>
      <w:proofErr w:type="spellEnd"/>
      <w:r w:rsidRPr="0018326A">
        <w:rPr>
          <w:sz w:val="24"/>
          <w:szCs w:val="24"/>
          <w:lang w:val="pt-BR"/>
        </w:rPr>
        <w:t xml:space="preserve"> 2008; 43: 674–678.</w:t>
      </w:r>
    </w:p>
    <w:p w14:paraId="278B85F0" w14:textId="5FA4F60A" w:rsidR="004C4CC3" w:rsidRPr="004C4CC3" w:rsidRDefault="004C4CC3" w:rsidP="004C4CC3">
      <w:pPr>
        <w:pStyle w:val="PargrafodaLista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4C4CC3">
        <w:rPr>
          <w:sz w:val="24"/>
          <w:szCs w:val="24"/>
        </w:rPr>
        <w:t xml:space="preserve">Woo, J., </w:t>
      </w:r>
      <w:proofErr w:type="spellStart"/>
      <w:r w:rsidRPr="004C4CC3">
        <w:rPr>
          <w:sz w:val="24"/>
          <w:szCs w:val="24"/>
        </w:rPr>
        <w:t>Goggins</w:t>
      </w:r>
      <w:proofErr w:type="spellEnd"/>
      <w:r w:rsidRPr="004C4CC3">
        <w:rPr>
          <w:sz w:val="24"/>
          <w:szCs w:val="24"/>
        </w:rPr>
        <w:t>, W., Sham, A., Ho, S.C., 2005. Social determinants of frailty.</w:t>
      </w:r>
      <w:r>
        <w:rPr>
          <w:sz w:val="24"/>
          <w:szCs w:val="24"/>
        </w:rPr>
        <w:t xml:space="preserve"> </w:t>
      </w:r>
      <w:r w:rsidRPr="00EA276C">
        <w:rPr>
          <w:sz w:val="24"/>
          <w:szCs w:val="24"/>
          <w:lang w:val="en-GB"/>
        </w:rPr>
        <w:t>Gerontology 51 (6), 402–408.</w:t>
      </w:r>
    </w:p>
    <w:p w14:paraId="3030143C" w14:textId="63250EA7" w:rsidR="00EA276C" w:rsidRPr="00EA276C" w:rsidRDefault="00EA276C" w:rsidP="00EA276C">
      <w:pPr>
        <w:pStyle w:val="PargrafodaLista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EA276C">
        <w:rPr>
          <w:sz w:val="24"/>
          <w:szCs w:val="24"/>
          <w:lang w:val="en-GB"/>
        </w:rPr>
        <w:t>Eve Escalante, MSW, Robyn L</w:t>
      </w:r>
      <w:r>
        <w:rPr>
          <w:sz w:val="24"/>
          <w:szCs w:val="24"/>
          <w:lang w:val="en-GB"/>
        </w:rPr>
        <w:t>,</w:t>
      </w:r>
      <w:r w:rsidRPr="00EA276C">
        <w:rPr>
          <w:sz w:val="24"/>
          <w:szCs w:val="24"/>
          <w:lang w:val="en-GB"/>
        </w:rPr>
        <w:t xml:space="preserve"> Golden, MA, Diana J</w:t>
      </w:r>
      <w:r>
        <w:rPr>
          <w:sz w:val="24"/>
          <w:szCs w:val="24"/>
          <w:lang w:val="en-GB"/>
        </w:rPr>
        <w:t>,</w:t>
      </w:r>
      <w:r w:rsidRPr="00EA276C">
        <w:rPr>
          <w:sz w:val="24"/>
          <w:szCs w:val="24"/>
          <w:lang w:val="en-GB"/>
        </w:rPr>
        <w:t xml:space="preserve"> Mason, RN. The JAMA Forum.</w:t>
      </w:r>
      <w:r w:rsidRPr="00EA276C">
        <w:rPr>
          <w:sz w:val="24"/>
          <w:szCs w:val="24"/>
        </w:rPr>
        <w:t xml:space="preserve"> Social Isolation and Loneliness: Imperatives for Health Care in a Post-COVID World. February 9, 2021 Volume 325, Number 6.</w:t>
      </w:r>
      <w:r w:rsidRPr="00EA276C">
        <w:rPr>
          <w:sz w:val="24"/>
          <w:szCs w:val="24"/>
          <w:lang w:val="en-GB"/>
        </w:rPr>
        <w:t xml:space="preserve"> </w:t>
      </w:r>
    </w:p>
    <w:p w14:paraId="4D267908" w14:textId="77777777" w:rsidR="00D53A70" w:rsidRPr="00D53A70" w:rsidRDefault="00EA276C" w:rsidP="00D53A70">
      <w:pPr>
        <w:pStyle w:val="PargrafodaLista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proofErr w:type="spellStart"/>
      <w:r w:rsidRPr="00EA276C">
        <w:rPr>
          <w:sz w:val="24"/>
          <w:szCs w:val="24"/>
          <w:lang w:val="en-GB"/>
        </w:rPr>
        <w:t>Marengoni</w:t>
      </w:r>
      <w:proofErr w:type="spellEnd"/>
      <w:r w:rsidRPr="00EA276C">
        <w:rPr>
          <w:sz w:val="24"/>
          <w:szCs w:val="24"/>
          <w:lang w:val="en-GB"/>
        </w:rPr>
        <w:t xml:space="preserve"> A, </w:t>
      </w:r>
      <w:proofErr w:type="spellStart"/>
      <w:r w:rsidRPr="00EA276C">
        <w:rPr>
          <w:sz w:val="24"/>
          <w:szCs w:val="24"/>
          <w:lang w:val="en-GB"/>
        </w:rPr>
        <w:t>Zucchelli</w:t>
      </w:r>
      <w:proofErr w:type="spellEnd"/>
      <w:r w:rsidRPr="00EA276C">
        <w:rPr>
          <w:sz w:val="24"/>
          <w:szCs w:val="24"/>
          <w:lang w:val="en-GB"/>
        </w:rPr>
        <w:t xml:space="preserve"> A, </w:t>
      </w:r>
      <w:proofErr w:type="spellStart"/>
      <w:r w:rsidRPr="00EA276C">
        <w:rPr>
          <w:sz w:val="24"/>
          <w:szCs w:val="24"/>
          <w:lang w:val="en-GB"/>
        </w:rPr>
        <w:t>Vetrano</w:t>
      </w:r>
      <w:proofErr w:type="spellEnd"/>
      <w:r w:rsidRPr="00EA276C">
        <w:rPr>
          <w:sz w:val="24"/>
          <w:szCs w:val="24"/>
          <w:lang w:val="en-GB"/>
        </w:rPr>
        <w:t xml:space="preserve"> DL, </w:t>
      </w:r>
      <w:proofErr w:type="spellStart"/>
      <w:r w:rsidRPr="00EA276C">
        <w:rPr>
          <w:sz w:val="24"/>
          <w:szCs w:val="24"/>
          <w:lang w:val="en-GB"/>
        </w:rPr>
        <w:t>Armellini</w:t>
      </w:r>
      <w:proofErr w:type="spellEnd"/>
      <w:r w:rsidRPr="00EA276C">
        <w:rPr>
          <w:sz w:val="24"/>
          <w:szCs w:val="24"/>
          <w:lang w:val="en-GB"/>
        </w:rPr>
        <w:t xml:space="preserve"> A,</w:t>
      </w:r>
      <w:r w:rsidRPr="00EA276C">
        <w:rPr>
          <w:sz w:val="24"/>
          <w:szCs w:val="24"/>
          <w:lang w:val="en-GB"/>
        </w:rPr>
        <w:t xml:space="preserve"> </w:t>
      </w:r>
      <w:proofErr w:type="spellStart"/>
      <w:r w:rsidRPr="00EA276C">
        <w:rPr>
          <w:sz w:val="24"/>
          <w:szCs w:val="24"/>
          <w:lang w:val="en-GB"/>
        </w:rPr>
        <w:t>Botteri</w:t>
      </w:r>
      <w:proofErr w:type="spellEnd"/>
      <w:r w:rsidRPr="00EA276C">
        <w:rPr>
          <w:sz w:val="24"/>
          <w:szCs w:val="24"/>
          <w:lang w:val="en-GB"/>
        </w:rPr>
        <w:t xml:space="preserve"> E, Nicosia F, Romanelli G, </w:t>
      </w:r>
      <w:proofErr w:type="spellStart"/>
      <w:r w:rsidRPr="00EA276C">
        <w:rPr>
          <w:sz w:val="24"/>
          <w:szCs w:val="24"/>
          <w:lang w:val="en-GB"/>
        </w:rPr>
        <w:t>Beindorf</w:t>
      </w:r>
      <w:proofErr w:type="spellEnd"/>
      <w:r w:rsidRPr="00EA276C">
        <w:rPr>
          <w:sz w:val="24"/>
          <w:szCs w:val="24"/>
          <w:lang w:val="en-GB"/>
        </w:rPr>
        <w:t xml:space="preserve"> EA, </w:t>
      </w:r>
      <w:proofErr w:type="spellStart"/>
      <w:r w:rsidRPr="00EA276C">
        <w:rPr>
          <w:sz w:val="24"/>
          <w:szCs w:val="24"/>
          <w:lang w:val="en-GB"/>
        </w:rPr>
        <w:t>Giansiracusa</w:t>
      </w:r>
      <w:proofErr w:type="spellEnd"/>
      <w:r w:rsidRPr="00EA276C">
        <w:rPr>
          <w:sz w:val="24"/>
          <w:szCs w:val="24"/>
          <w:lang w:val="en-GB"/>
        </w:rPr>
        <w:t xml:space="preserve"> P,</w:t>
      </w:r>
      <w:r w:rsidRPr="00EA276C">
        <w:rPr>
          <w:sz w:val="24"/>
          <w:szCs w:val="24"/>
          <w:lang w:val="en-GB"/>
        </w:rPr>
        <w:t xml:space="preserve"> </w:t>
      </w:r>
      <w:proofErr w:type="spellStart"/>
      <w:r w:rsidRPr="00EA276C">
        <w:rPr>
          <w:sz w:val="24"/>
          <w:szCs w:val="24"/>
          <w:lang w:val="en-GB"/>
        </w:rPr>
        <w:t>Garrafa</w:t>
      </w:r>
      <w:proofErr w:type="spellEnd"/>
      <w:r w:rsidRPr="00EA276C">
        <w:rPr>
          <w:sz w:val="24"/>
          <w:szCs w:val="24"/>
          <w:lang w:val="en-GB"/>
        </w:rPr>
        <w:t xml:space="preserve"> E, </w:t>
      </w:r>
      <w:proofErr w:type="spellStart"/>
      <w:r w:rsidRPr="00EA276C">
        <w:rPr>
          <w:sz w:val="24"/>
          <w:szCs w:val="24"/>
          <w:lang w:val="en-GB"/>
        </w:rPr>
        <w:t>Ferrucci</w:t>
      </w:r>
      <w:proofErr w:type="spellEnd"/>
      <w:r w:rsidRPr="00EA276C">
        <w:rPr>
          <w:sz w:val="24"/>
          <w:szCs w:val="24"/>
          <w:lang w:val="en-GB"/>
        </w:rPr>
        <w:t xml:space="preserve"> L, </w:t>
      </w:r>
      <w:proofErr w:type="spellStart"/>
      <w:r w:rsidRPr="00EA276C">
        <w:rPr>
          <w:sz w:val="24"/>
          <w:szCs w:val="24"/>
          <w:lang w:val="en-GB"/>
        </w:rPr>
        <w:t>Fratiglioni</w:t>
      </w:r>
      <w:proofErr w:type="spellEnd"/>
      <w:r w:rsidRPr="00EA276C">
        <w:rPr>
          <w:sz w:val="24"/>
          <w:szCs w:val="24"/>
          <w:lang w:val="en-GB"/>
        </w:rPr>
        <w:t xml:space="preserve"> L, </w:t>
      </w:r>
      <w:proofErr w:type="spellStart"/>
      <w:r w:rsidRPr="00EA276C">
        <w:rPr>
          <w:sz w:val="24"/>
          <w:szCs w:val="24"/>
          <w:lang w:val="en-GB"/>
        </w:rPr>
        <w:t>Bernabei</w:t>
      </w:r>
      <w:proofErr w:type="spellEnd"/>
      <w:r w:rsidRPr="00EA276C">
        <w:rPr>
          <w:sz w:val="24"/>
          <w:szCs w:val="24"/>
          <w:lang w:val="en-GB"/>
        </w:rPr>
        <w:t xml:space="preserve"> R, </w:t>
      </w:r>
      <w:proofErr w:type="spellStart"/>
      <w:r w:rsidRPr="00EA276C">
        <w:rPr>
          <w:sz w:val="24"/>
          <w:szCs w:val="24"/>
          <w:lang w:val="en-GB"/>
        </w:rPr>
        <w:t>Onder</w:t>
      </w:r>
      <w:proofErr w:type="spellEnd"/>
      <w:r w:rsidRPr="00EA276C">
        <w:rPr>
          <w:sz w:val="24"/>
          <w:szCs w:val="24"/>
          <w:lang w:val="en-GB"/>
        </w:rPr>
        <w:t xml:space="preserve"> </w:t>
      </w:r>
      <w:r w:rsidRPr="00EA276C">
        <w:rPr>
          <w:sz w:val="24"/>
          <w:szCs w:val="24"/>
          <w:lang w:val="en-GB"/>
        </w:rPr>
        <w:t>G</w:t>
      </w:r>
      <w:r w:rsidRPr="00EA276C">
        <w:rPr>
          <w:sz w:val="24"/>
          <w:szCs w:val="24"/>
          <w:lang w:val="en-GB"/>
        </w:rPr>
        <w:t>.</w:t>
      </w:r>
      <w:r w:rsidRPr="00EA276C">
        <w:rPr>
          <w:sz w:val="24"/>
          <w:szCs w:val="24"/>
          <w:lang w:val="en-GB"/>
        </w:rPr>
        <w:t xml:space="preserve"> </w:t>
      </w:r>
      <w:r w:rsidRPr="00EA276C">
        <w:rPr>
          <w:sz w:val="24"/>
          <w:szCs w:val="24"/>
          <w:lang w:val="en-GB"/>
        </w:rPr>
        <w:t>Beyond chronological age: Frailty and multimorbidity</w:t>
      </w:r>
      <w:r>
        <w:rPr>
          <w:sz w:val="24"/>
          <w:szCs w:val="24"/>
          <w:lang w:val="en-GB"/>
        </w:rPr>
        <w:t xml:space="preserve"> </w:t>
      </w:r>
      <w:r w:rsidRPr="00EA276C">
        <w:rPr>
          <w:sz w:val="24"/>
          <w:szCs w:val="24"/>
          <w:lang w:val="en-GB"/>
        </w:rPr>
        <w:t xml:space="preserve">predict in-hospital mortality in patients with </w:t>
      </w:r>
      <w:r>
        <w:rPr>
          <w:sz w:val="24"/>
          <w:szCs w:val="24"/>
          <w:lang w:val="en-GB"/>
        </w:rPr>
        <w:t xml:space="preserve">coronavirus </w:t>
      </w:r>
      <w:r w:rsidRPr="00EA276C">
        <w:rPr>
          <w:sz w:val="24"/>
          <w:szCs w:val="24"/>
          <w:lang w:val="en-GB"/>
        </w:rPr>
        <w:t xml:space="preserve">disease 2019. Accepted manuscript. Oxford University Press. </w:t>
      </w:r>
      <w:r w:rsidRPr="00EA276C">
        <w:rPr>
          <w:sz w:val="24"/>
          <w:szCs w:val="24"/>
          <w:lang w:val="pt-BR"/>
        </w:rPr>
        <w:t>2020.</w:t>
      </w:r>
    </w:p>
    <w:p w14:paraId="0543EA45" w14:textId="1F99C3F7" w:rsidR="00D53A70" w:rsidRPr="00D53A70" w:rsidRDefault="00D53A70" w:rsidP="00D53A70">
      <w:pPr>
        <w:pStyle w:val="PargrafodaLista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D53A70">
        <w:rPr>
          <w:rFonts w:eastAsiaTheme="minorEastAsia" w:hAnsi="Calibri"/>
          <w:color w:val="000000" w:themeColor="text1"/>
          <w:kern w:val="24"/>
          <w:sz w:val="24"/>
          <w:szCs w:val="24"/>
        </w:rPr>
        <w:t>Melissa K Andrew, Samuel D Searle, Janet E McElhaney, Shelly A McNeil,</w:t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r w:rsidRPr="00D53A70">
        <w:rPr>
          <w:rFonts w:eastAsiaTheme="minorEastAsia" w:hAnsi="Calibri"/>
          <w:color w:val="000000" w:themeColor="text1"/>
          <w:kern w:val="24"/>
        </w:rPr>
        <w:t>Barry Clarke, Kenneth Rockwood, David J Kelvin.</w:t>
      </w:r>
      <w:r>
        <w:rPr>
          <w:rFonts w:eastAsiaTheme="minorEastAsia" w:hAnsi="Calibri"/>
          <w:color w:val="000000" w:themeColor="text1"/>
          <w:kern w:val="24"/>
        </w:rPr>
        <w:t xml:space="preserve"> </w:t>
      </w:r>
      <w:r w:rsidRPr="00D53A70">
        <w:rPr>
          <w:rFonts w:eastAsiaTheme="minorEastAsia" w:hAnsi="Calibri"/>
          <w:color w:val="000000" w:themeColor="text1"/>
          <w:kern w:val="24"/>
        </w:rPr>
        <w:t>COVID-19, frailty and long-term care: Implications for policy and practice.</w:t>
      </w:r>
      <w:r>
        <w:rPr>
          <w:rFonts w:eastAsiaTheme="minorEastAsia" w:hAnsi="Calibri"/>
          <w:color w:val="000000" w:themeColor="text1"/>
          <w:kern w:val="24"/>
        </w:rPr>
        <w:t xml:space="preserve"> </w:t>
      </w:r>
      <w:r w:rsidRPr="00D53A70">
        <w:rPr>
          <w:rFonts w:eastAsiaTheme="minorEastAsia" w:hAnsi="Calibri"/>
          <w:color w:val="000000" w:themeColor="text1"/>
          <w:kern w:val="24"/>
          <w:lang w:val="fr-FR"/>
        </w:rPr>
        <w:t>J Infect Dev Ctries 2020; 14(5):428-432. doi:10.3855/jidc.13003</w:t>
      </w:r>
    </w:p>
    <w:p w14:paraId="5676B3B2" w14:textId="4443D115" w:rsidR="00AF7AE6" w:rsidRPr="00AF7AE6" w:rsidRDefault="00AF7AE6" w:rsidP="00AF7AE6">
      <w:pPr>
        <w:pStyle w:val="PargrafodaLista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AF7AE6">
        <w:rPr>
          <w:sz w:val="24"/>
          <w:szCs w:val="24"/>
          <w:lang w:val="da-DK"/>
        </w:rPr>
        <w:t xml:space="preserve">A. J. Cruz-Jentoft et al. </w:t>
      </w:r>
      <w:r w:rsidRPr="00AF7AE6">
        <w:rPr>
          <w:sz w:val="24"/>
          <w:szCs w:val="24"/>
          <w:lang w:val="en-GB"/>
        </w:rPr>
        <w:t>GUIDELINES Sarcopenia: revised European consensus</w:t>
      </w:r>
      <w:r>
        <w:rPr>
          <w:sz w:val="24"/>
          <w:szCs w:val="24"/>
          <w:lang w:val="en-GB"/>
        </w:rPr>
        <w:t xml:space="preserve"> </w:t>
      </w:r>
      <w:r w:rsidRPr="00AF7AE6">
        <w:rPr>
          <w:sz w:val="24"/>
          <w:szCs w:val="24"/>
          <w:lang w:val="en-GB"/>
        </w:rPr>
        <w:t>on definition and diagnosis.</w:t>
      </w:r>
      <w:r w:rsidRPr="00AF7AE6">
        <w:rPr>
          <w:sz w:val="24"/>
          <w:szCs w:val="24"/>
          <w:lang w:val="da-DK"/>
        </w:rPr>
        <w:t xml:space="preserve"> </w:t>
      </w:r>
      <w:r w:rsidRPr="00AF7AE6">
        <w:rPr>
          <w:sz w:val="24"/>
          <w:szCs w:val="24"/>
        </w:rPr>
        <w:t>Age and Ageing 2019; 48: 16–31.</w:t>
      </w:r>
    </w:p>
    <w:p w14:paraId="78983A7B" w14:textId="77777777" w:rsidR="004A0F08" w:rsidRPr="004A0F08" w:rsidRDefault="004A0F08" w:rsidP="004A0F08">
      <w:pPr>
        <w:pStyle w:val="PargrafodaLista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proofErr w:type="spellStart"/>
      <w:r w:rsidRPr="004A0F08">
        <w:rPr>
          <w:sz w:val="24"/>
          <w:szCs w:val="24"/>
          <w:lang w:val="en-GB"/>
        </w:rPr>
        <w:t>Steverink</w:t>
      </w:r>
      <w:proofErr w:type="spellEnd"/>
      <w:r w:rsidRPr="004A0F08">
        <w:rPr>
          <w:sz w:val="24"/>
          <w:szCs w:val="24"/>
          <w:lang w:val="en-GB"/>
        </w:rPr>
        <w:t xml:space="preserve"> N, </w:t>
      </w:r>
      <w:proofErr w:type="spellStart"/>
      <w:r w:rsidRPr="004A0F08">
        <w:rPr>
          <w:sz w:val="24"/>
          <w:szCs w:val="24"/>
          <w:lang w:val="en-GB"/>
        </w:rPr>
        <w:t>Slaets</w:t>
      </w:r>
      <w:proofErr w:type="spellEnd"/>
      <w:r w:rsidRPr="004A0F08">
        <w:rPr>
          <w:sz w:val="24"/>
          <w:szCs w:val="24"/>
          <w:lang w:val="en-GB"/>
        </w:rPr>
        <w:t xml:space="preserve"> J, Schuurmans H et al. Measuring frailty: </w:t>
      </w:r>
      <w:r w:rsidRPr="004A0F08">
        <w:rPr>
          <w:sz w:val="24"/>
          <w:szCs w:val="24"/>
        </w:rPr>
        <w:t xml:space="preserve">developing and testing the Groningen Frailty Indicator </w:t>
      </w:r>
      <w:r w:rsidRPr="004A0F08">
        <w:rPr>
          <w:sz w:val="24"/>
          <w:szCs w:val="24"/>
          <w:lang w:val="it-IT"/>
        </w:rPr>
        <w:t>(GFI). Gerontologist 2001; 41: 236–37.</w:t>
      </w:r>
    </w:p>
    <w:p w14:paraId="6B2FAB2B" w14:textId="77777777" w:rsidR="00A107C9" w:rsidRPr="00A107C9" w:rsidRDefault="00A107C9" w:rsidP="00A107C9">
      <w:pPr>
        <w:pStyle w:val="PargrafodaLista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A107C9">
        <w:rPr>
          <w:sz w:val="24"/>
          <w:szCs w:val="24"/>
        </w:rPr>
        <w:t xml:space="preserve">Rockwood K, Song X, </w:t>
      </w:r>
      <w:proofErr w:type="spellStart"/>
      <w:r w:rsidRPr="00A107C9">
        <w:rPr>
          <w:sz w:val="24"/>
          <w:szCs w:val="24"/>
        </w:rPr>
        <w:t>MacKnight</w:t>
      </w:r>
      <w:proofErr w:type="spellEnd"/>
      <w:r w:rsidRPr="00A107C9">
        <w:rPr>
          <w:sz w:val="24"/>
          <w:szCs w:val="24"/>
        </w:rPr>
        <w:t xml:space="preserve"> C et al. A global clinical measure of fitness and frailty in elderly people. CMAJ 2005; </w:t>
      </w:r>
      <w:r w:rsidRPr="00A107C9">
        <w:rPr>
          <w:sz w:val="24"/>
          <w:szCs w:val="24"/>
          <w:lang w:val="pt-BR"/>
        </w:rPr>
        <w:t>173: 489–95.</w:t>
      </w:r>
    </w:p>
    <w:p w14:paraId="5DE99EE1" w14:textId="696882EB" w:rsidR="0046685A" w:rsidRPr="0046685A" w:rsidRDefault="0046685A" w:rsidP="0046685A">
      <w:pPr>
        <w:pStyle w:val="PargrafodaLista"/>
        <w:numPr>
          <w:ilvl w:val="0"/>
          <w:numId w:val="1"/>
        </w:numPr>
        <w:jc w:val="both"/>
        <w:rPr>
          <w:sz w:val="24"/>
          <w:szCs w:val="24"/>
          <w:lang w:val="pt-BR"/>
        </w:rPr>
      </w:pPr>
      <w:proofErr w:type="gramStart"/>
      <w:r w:rsidRPr="0046685A">
        <w:rPr>
          <w:sz w:val="24"/>
          <w:szCs w:val="24"/>
          <w:lang w:val="en-GB"/>
        </w:rPr>
        <w:t>.G.</w:t>
      </w:r>
      <w:proofErr w:type="gramEnd"/>
      <w:r w:rsidRPr="0046685A">
        <w:rPr>
          <w:sz w:val="24"/>
          <w:szCs w:val="24"/>
          <w:lang w:val="en-GB"/>
        </w:rPr>
        <w:t> </w:t>
      </w:r>
      <w:proofErr w:type="spellStart"/>
      <w:r w:rsidRPr="0046685A">
        <w:rPr>
          <w:sz w:val="24"/>
          <w:szCs w:val="24"/>
          <w:lang w:val="en-GB"/>
        </w:rPr>
        <w:t>BarbosaSilva</w:t>
      </w:r>
      <w:proofErr w:type="spellEnd"/>
      <w:r w:rsidRPr="0046685A">
        <w:rPr>
          <w:sz w:val="24"/>
          <w:szCs w:val="24"/>
          <w:lang w:val="en-GB"/>
        </w:rPr>
        <w:t>, A.M.B.</w:t>
      </w:r>
      <w:r w:rsidRPr="0046685A">
        <w:rPr>
          <w:sz w:val="24"/>
          <w:szCs w:val="24"/>
          <w:lang w:val="en-GB"/>
        </w:rPr>
        <w:t xml:space="preserve"> </w:t>
      </w:r>
      <w:r w:rsidRPr="0046685A">
        <w:rPr>
          <w:sz w:val="24"/>
          <w:szCs w:val="24"/>
          <w:lang w:val="en-GB"/>
        </w:rPr>
        <w:t>Menezes, R.M. </w:t>
      </w:r>
      <w:proofErr w:type="spellStart"/>
      <w:r w:rsidRPr="0046685A">
        <w:rPr>
          <w:sz w:val="24"/>
          <w:szCs w:val="24"/>
          <w:lang w:val="en-GB"/>
        </w:rPr>
        <w:t>Bielemann</w:t>
      </w:r>
      <w:proofErr w:type="spellEnd"/>
      <w:r w:rsidRPr="0046685A">
        <w:rPr>
          <w:sz w:val="24"/>
          <w:szCs w:val="24"/>
          <w:lang w:val="en-GB"/>
        </w:rPr>
        <w:t>,</w:t>
      </w:r>
      <w:r w:rsidRPr="0046685A">
        <w:rPr>
          <w:sz w:val="24"/>
          <w:szCs w:val="24"/>
          <w:lang w:val="en-GB"/>
        </w:rPr>
        <w:t xml:space="preserve"> </w:t>
      </w:r>
      <w:r w:rsidRPr="0046685A">
        <w:rPr>
          <w:sz w:val="24"/>
          <w:szCs w:val="24"/>
          <w:lang w:val="en-GB"/>
        </w:rPr>
        <w:t>T.K. Malmstrom,</w:t>
      </w:r>
      <w:r w:rsidRPr="0046685A">
        <w:rPr>
          <w:sz w:val="24"/>
          <w:szCs w:val="24"/>
          <w:lang w:val="en-GB"/>
        </w:rPr>
        <w:t xml:space="preserve"> </w:t>
      </w:r>
      <w:r w:rsidRPr="0046685A">
        <w:rPr>
          <w:sz w:val="24"/>
          <w:szCs w:val="24"/>
          <w:lang w:val="en-GB"/>
        </w:rPr>
        <w:t xml:space="preserve">M.C. Gonzalez. </w:t>
      </w:r>
      <w:r w:rsidRPr="0046685A">
        <w:rPr>
          <w:b/>
          <w:bCs/>
          <w:sz w:val="24"/>
          <w:szCs w:val="24"/>
          <w:lang w:val="en-GB"/>
        </w:rPr>
        <w:t>Enhancing SARC-F: improving sarcopenia screening in the clinical practice</w:t>
      </w:r>
      <w:r w:rsidRPr="0046685A">
        <w:rPr>
          <w:sz w:val="24"/>
          <w:szCs w:val="24"/>
          <w:lang w:val="en-GB"/>
        </w:rPr>
        <w:t xml:space="preserve"> J Am Med Dir Assoc, 17 (2016), pp. 1-6.</w:t>
      </w:r>
    </w:p>
    <w:p w14:paraId="1E2BABC0" w14:textId="1D6B97C9" w:rsidR="001A4968" w:rsidRPr="000B502D" w:rsidRDefault="00B32140" w:rsidP="000B502D">
      <w:pPr>
        <w:pStyle w:val="PargrafodaLista"/>
        <w:numPr>
          <w:ilvl w:val="0"/>
          <w:numId w:val="1"/>
        </w:numPr>
        <w:jc w:val="both"/>
        <w:rPr>
          <w:sz w:val="24"/>
          <w:szCs w:val="24"/>
          <w:lang w:val="pt-BR"/>
        </w:rPr>
      </w:pPr>
      <w:r w:rsidRPr="00B32140">
        <w:rPr>
          <w:rFonts w:eastAsiaTheme="minorEastAsia" w:hAnsi="Calibri"/>
          <w:color w:val="323E4F" w:themeColor="text2" w:themeShade="BF"/>
          <w:kern w:val="24"/>
          <w:sz w:val="24"/>
          <w:szCs w:val="24"/>
          <w:lang w:val="pt-BR"/>
        </w:rPr>
        <w:t>ORIENTAÇÕES TÉCNICAS PARA A IMPLEMENTAÇÃO DE LINHA DE CUIDADO PARA ATENÇÃO INTEGRAL À SAÚDE DA PESSOA IDOSA NO SISTEMA ÚNICO DE SAÚDE (SUS) – MS / SAS / DAPE / COSAPI – nov2017</w:t>
      </w:r>
    </w:p>
    <w:sectPr w:rsidR="001A4968" w:rsidRPr="000B5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92CB0"/>
    <w:multiLevelType w:val="hybridMultilevel"/>
    <w:tmpl w:val="31E6BE1C"/>
    <w:lvl w:ilvl="0" w:tplc="EE2A4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201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0CC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4E3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68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CC0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6C2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CED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742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8257F84"/>
    <w:multiLevelType w:val="hybridMultilevel"/>
    <w:tmpl w:val="6B74C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68"/>
    <w:rsid w:val="0009450D"/>
    <w:rsid w:val="000B502D"/>
    <w:rsid w:val="0018326A"/>
    <w:rsid w:val="001A4968"/>
    <w:rsid w:val="002A28BB"/>
    <w:rsid w:val="0046685A"/>
    <w:rsid w:val="004A0F08"/>
    <w:rsid w:val="004A5ECC"/>
    <w:rsid w:val="004C4CC3"/>
    <w:rsid w:val="006469E7"/>
    <w:rsid w:val="00705F14"/>
    <w:rsid w:val="00816D45"/>
    <w:rsid w:val="00910557"/>
    <w:rsid w:val="00A107C9"/>
    <w:rsid w:val="00AF7AE6"/>
    <w:rsid w:val="00B32140"/>
    <w:rsid w:val="00B51764"/>
    <w:rsid w:val="00C341ED"/>
    <w:rsid w:val="00D53A70"/>
    <w:rsid w:val="00EA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61C1"/>
  <w15:chartTrackingRefBased/>
  <w15:docId w15:val="{1A92D0DF-B8FB-479B-97A4-7D46666F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49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3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2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Paschoal</dc:creator>
  <cp:keywords/>
  <dc:description/>
  <cp:lastModifiedBy>Sergio Paschoal</cp:lastModifiedBy>
  <cp:revision>19</cp:revision>
  <dcterms:created xsi:type="dcterms:W3CDTF">2021-04-08T14:34:00Z</dcterms:created>
  <dcterms:modified xsi:type="dcterms:W3CDTF">2021-04-08T15:22:00Z</dcterms:modified>
</cp:coreProperties>
</file>