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1E59" w14:textId="77777777" w:rsidR="00F73C63" w:rsidRPr="00E177F3" w:rsidRDefault="00F73C63" w:rsidP="00B62949">
      <w:pPr>
        <w:rPr>
          <w:rFonts w:ascii="Arial" w:hAnsi="Arial" w:cs="Arial"/>
          <w:b/>
          <w:sz w:val="28"/>
          <w:szCs w:val="28"/>
        </w:rPr>
      </w:pPr>
      <w:r w:rsidRPr="00E177F3">
        <w:rPr>
          <w:rFonts w:ascii="Arial" w:hAnsi="Arial" w:cs="Arial"/>
          <w:b/>
          <w:sz w:val="28"/>
          <w:szCs w:val="28"/>
        </w:rPr>
        <w:t xml:space="preserve">Questões de Biologia </w:t>
      </w:r>
      <w:r>
        <w:rPr>
          <w:rFonts w:ascii="Arial" w:hAnsi="Arial" w:cs="Arial"/>
          <w:b/>
          <w:sz w:val="28"/>
          <w:szCs w:val="28"/>
        </w:rPr>
        <w:t>Molecular da Célula – aula 2</w:t>
      </w:r>
    </w:p>
    <w:p w14:paraId="330E047D" w14:textId="77777777" w:rsidR="00F73C63" w:rsidRPr="0079251E" w:rsidRDefault="00F73C63" w:rsidP="00F73C63">
      <w:pPr>
        <w:jc w:val="both"/>
        <w:rPr>
          <w:rFonts w:ascii="Arial" w:hAnsi="Arial" w:cs="Arial"/>
          <w:b/>
          <w:sz w:val="24"/>
          <w:szCs w:val="24"/>
        </w:rPr>
      </w:pPr>
      <w:r>
        <w:rPr>
          <w:rFonts w:ascii="Arial" w:hAnsi="Arial" w:cs="Arial"/>
          <w:b/>
          <w:sz w:val="24"/>
          <w:szCs w:val="24"/>
        </w:rPr>
        <w:t xml:space="preserve">Questões a serem discutidas em grupos de no </w:t>
      </w:r>
      <w:r w:rsidRPr="00E177F3">
        <w:rPr>
          <w:rFonts w:ascii="Arial" w:hAnsi="Arial" w:cs="Arial"/>
          <w:b/>
          <w:sz w:val="24"/>
          <w:szCs w:val="24"/>
          <w:u w:val="single"/>
        </w:rPr>
        <w:t>máximo 4 alunos</w:t>
      </w:r>
      <w:r>
        <w:rPr>
          <w:rFonts w:ascii="Arial" w:hAnsi="Arial" w:cs="Arial"/>
          <w:b/>
          <w:sz w:val="24"/>
          <w:szCs w:val="24"/>
        </w:rPr>
        <w:t>. Entregar relatório.</w:t>
      </w:r>
    </w:p>
    <w:p w14:paraId="3BCF062D" w14:textId="77777777" w:rsidR="00F73C63" w:rsidRDefault="00F73C63" w:rsidP="00F73C63">
      <w:pPr>
        <w:pStyle w:val="ListParagraph"/>
        <w:jc w:val="both"/>
        <w:rPr>
          <w:rFonts w:ascii="Arial" w:hAnsi="Arial" w:cs="Arial"/>
          <w:sz w:val="24"/>
          <w:szCs w:val="24"/>
        </w:rPr>
      </w:pPr>
    </w:p>
    <w:p w14:paraId="102CD33A" w14:textId="77777777" w:rsidR="00F73C63" w:rsidRDefault="00F73C63" w:rsidP="00F73C63">
      <w:pPr>
        <w:pStyle w:val="ListParagraph"/>
        <w:jc w:val="both"/>
        <w:rPr>
          <w:rFonts w:ascii="Arial" w:hAnsi="Arial" w:cs="Arial"/>
          <w:sz w:val="24"/>
          <w:szCs w:val="24"/>
        </w:rPr>
      </w:pPr>
      <w:r>
        <w:rPr>
          <w:rFonts w:ascii="Arial" w:hAnsi="Arial" w:cs="Arial"/>
          <w:sz w:val="24"/>
          <w:szCs w:val="24"/>
        </w:rPr>
        <w:t>1. (8.95) O DNA de alguns vírus pode integrar no genoma da célula hospedeira, como mostrado na figura 1. Em seu projeto, você pretende entender a estrutura do genoma viral no genoma de uma determinada linhagem de célula humana. Para isso digere, separadamente, o DNA viral e o DNA da célula com enzimas de restrição que cortam o DNA viral em pontos conhecidos (figura 2</w:t>
      </w:r>
      <w:r w:rsidRPr="00F27D9D">
        <w:rPr>
          <w:rFonts w:ascii="Arial" w:hAnsi="Arial" w:cs="Arial"/>
          <w:sz w:val="24"/>
          <w:szCs w:val="24"/>
        </w:rPr>
        <w:t>A</w:t>
      </w:r>
      <w:r>
        <w:rPr>
          <w:rFonts w:ascii="Arial" w:hAnsi="Arial" w:cs="Arial"/>
          <w:sz w:val="24"/>
          <w:szCs w:val="24"/>
        </w:rPr>
        <w:t xml:space="preserve">). Depois da digestão você separa o DNA por eletroforese em gel de </w:t>
      </w:r>
      <w:proofErr w:type="spellStart"/>
      <w:r>
        <w:rPr>
          <w:rFonts w:ascii="Arial" w:hAnsi="Arial" w:cs="Arial"/>
          <w:sz w:val="24"/>
          <w:szCs w:val="24"/>
        </w:rPr>
        <w:t>agarose</w:t>
      </w:r>
      <w:proofErr w:type="spellEnd"/>
      <w:r>
        <w:rPr>
          <w:rFonts w:ascii="Arial" w:hAnsi="Arial" w:cs="Arial"/>
          <w:sz w:val="24"/>
          <w:szCs w:val="24"/>
        </w:rPr>
        <w:t xml:space="preserve"> e visualiza as bandas por brometo de </w:t>
      </w:r>
      <w:proofErr w:type="spellStart"/>
      <w:r>
        <w:rPr>
          <w:rFonts w:ascii="Arial" w:hAnsi="Arial" w:cs="Arial"/>
          <w:sz w:val="24"/>
          <w:szCs w:val="24"/>
        </w:rPr>
        <w:t>etídio</w:t>
      </w:r>
      <w:proofErr w:type="spellEnd"/>
      <w:r>
        <w:rPr>
          <w:rFonts w:ascii="Arial" w:hAnsi="Arial" w:cs="Arial"/>
          <w:sz w:val="24"/>
          <w:szCs w:val="24"/>
        </w:rPr>
        <w:t xml:space="preserve">, </w:t>
      </w:r>
      <w:r w:rsidRPr="006A573D">
        <w:rPr>
          <w:rFonts w:ascii="Arial" w:hAnsi="Arial" w:cs="Arial"/>
          <w:sz w:val="24"/>
          <w:szCs w:val="24"/>
        </w:rPr>
        <w:t>sem que possa identificar nenhuma banda específica na amostra viral e um</w:t>
      </w:r>
      <w:r>
        <w:rPr>
          <w:rFonts w:ascii="Arial" w:hAnsi="Arial" w:cs="Arial"/>
          <w:sz w:val="24"/>
          <w:szCs w:val="24"/>
        </w:rPr>
        <w:t xml:space="preserve"> rastro de DNA na amostra celular. Para identificar o DNA do vírus faz Southern </w:t>
      </w:r>
      <w:proofErr w:type="spellStart"/>
      <w:r>
        <w:rPr>
          <w:rFonts w:ascii="Arial" w:hAnsi="Arial" w:cs="Arial"/>
          <w:sz w:val="24"/>
          <w:szCs w:val="24"/>
        </w:rPr>
        <w:t>blot</w:t>
      </w:r>
      <w:proofErr w:type="spellEnd"/>
      <w:r>
        <w:rPr>
          <w:rFonts w:ascii="Arial" w:hAnsi="Arial" w:cs="Arial"/>
          <w:sz w:val="24"/>
          <w:szCs w:val="24"/>
        </w:rPr>
        <w:t>, utilizando como sonda o DNA viral (marcado radioativamente) para hibridação. Após radiografia você obtém o padrão definido na figura 2B.</w:t>
      </w:r>
    </w:p>
    <w:p w14:paraId="22B01A9C" w14:textId="77777777" w:rsidR="00F73C63" w:rsidRDefault="00F73C63" w:rsidP="00F73C63">
      <w:pPr>
        <w:pStyle w:val="ListParagraph"/>
        <w:jc w:val="both"/>
        <w:rPr>
          <w:rFonts w:ascii="Arial" w:hAnsi="Arial" w:cs="Arial"/>
          <w:sz w:val="24"/>
          <w:szCs w:val="24"/>
        </w:rPr>
      </w:pPr>
      <w:r>
        <w:rPr>
          <w:rFonts w:ascii="Arial" w:hAnsi="Arial" w:cs="Arial"/>
          <w:sz w:val="24"/>
          <w:szCs w:val="24"/>
        </w:rPr>
        <w:t xml:space="preserve">a) Por que você não consegue visualizar bandas precisas no genoma celular quando visualiza esta amostra em brometo de </w:t>
      </w:r>
      <w:proofErr w:type="spellStart"/>
      <w:r>
        <w:rPr>
          <w:rFonts w:ascii="Arial" w:hAnsi="Arial" w:cs="Arial"/>
          <w:sz w:val="24"/>
          <w:szCs w:val="24"/>
        </w:rPr>
        <w:t>etídio</w:t>
      </w:r>
      <w:proofErr w:type="spellEnd"/>
      <w:r>
        <w:rPr>
          <w:rFonts w:ascii="Arial" w:hAnsi="Arial" w:cs="Arial"/>
          <w:sz w:val="24"/>
          <w:szCs w:val="24"/>
        </w:rPr>
        <w:t>? Qual seria a razão para não ver bandas específicas para a amostra viral?</w:t>
      </w:r>
    </w:p>
    <w:p w14:paraId="58F99189" w14:textId="77777777" w:rsidR="00F73C63" w:rsidRDefault="00F73C63" w:rsidP="00F73C63">
      <w:pPr>
        <w:pStyle w:val="ListParagraph"/>
        <w:jc w:val="both"/>
        <w:rPr>
          <w:rFonts w:ascii="Arial" w:hAnsi="Arial" w:cs="Arial"/>
          <w:sz w:val="24"/>
          <w:szCs w:val="24"/>
        </w:rPr>
      </w:pPr>
      <w:r>
        <w:rPr>
          <w:rFonts w:ascii="Arial" w:hAnsi="Arial" w:cs="Arial"/>
          <w:sz w:val="24"/>
          <w:szCs w:val="24"/>
        </w:rPr>
        <w:t xml:space="preserve">b) Como você consegue visualizar bandas específicas por Southern </w:t>
      </w:r>
      <w:proofErr w:type="spellStart"/>
      <w:r>
        <w:rPr>
          <w:rFonts w:ascii="Arial" w:hAnsi="Arial" w:cs="Arial"/>
          <w:sz w:val="24"/>
          <w:szCs w:val="24"/>
        </w:rPr>
        <w:t>blot</w:t>
      </w:r>
      <w:proofErr w:type="spellEnd"/>
      <w:r>
        <w:rPr>
          <w:rFonts w:ascii="Arial" w:hAnsi="Arial" w:cs="Arial"/>
          <w:sz w:val="24"/>
          <w:szCs w:val="24"/>
        </w:rPr>
        <w:t>?</w:t>
      </w:r>
    </w:p>
    <w:p w14:paraId="79511DD1" w14:textId="77777777" w:rsidR="00F73C63" w:rsidRDefault="00F73C63" w:rsidP="00F73C63">
      <w:pPr>
        <w:pStyle w:val="ListParagraph"/>
        <w:jc w:val="both"/>
        <w:rPr>
          <w:rFonts w:ascii="Arial" w:hAnsi="Arial" w:cs="Arial"/>
          <w:sz w:val="24"/>
          <w:szCs w:val="24"/>
        </w:rPr>
      </w:pPr>
      <w:r>
        <w:rPr>
          <w:rFonts w:ascii="Arial" w:hAnsi="Arial" w:cs="Arial"/>
          <w:sz w:val="24"/>
          <w:szCs w:val="24"/>
        </w:rPr>
        <w:t xml:space="preserve">c) Pelos dados na figura 2B, por que você obtém duas bandas após digestão com </w:t>
      </w:r>
      <w:proofErr w:type="spellStart"/>
      <w:r w:rsidRPr="006F4286">
        <w:rPr>
          <w:rFonts w:ascii="Arial" w:hAnsi="Arial" w:cs="Arial"/>
          <w:i/>
          <w:sz w:val="24"/>
          <w:szCs w:val="24"/>
        </w:rPr>
        <w:t>Eco</w:t>
      </w:r>
      <w:r>
        <w:rPr>
          <w:rFonts w:ascii="Arial" w:hAnsi="Arial" w:cs="Arial"/>
          <w:sz w:val="24"/>
          <w:szCs w:val="24"/>
        </w:rPr>
        <w:t>RI</w:t>
      </w:r>
      <w:proofErr w:type="spellEnd"/>
      <w:r>
        <w:rPr>
          <w:rFonts w:ascii="Arial" w:hAnsi="Arial" w:cs="Arial"/>
          <w:sz w:val="24"/>
          <w:szCs w:val="24"/>
        </w:rPr>
        <w:t xml:space="preserve"> na amostra celular, apesar desta enzima clivar apenas um ponto no genoma viral?</w:t>
      </w:r>
    </w:p>
    <w:p w14:paraId="37F1CE17" w14:textId="3B2CEE26" w:rsidR="00F73C63" w:rsidRDefault="00F73C63" w:rsidP="00B62949">
      <w:pPr>
        <w:pStyle w:val="ListParagraph"/>
        <w:jc w:val="both"/>
        <w:rPr>
          <w:rFonts w:ascii="Arial" w:hAnsi="Arial" w:cs="Arial"/>
          <w:sz w:val="24"/>
          <w:szCs w:val="24"/>
        </w:rPr>
      </w:pPr>
      <w:r>
        <w:rPr>
          <w:rFonts w:ascii="Arial" w:hAnsi="Arial" w:cs="Arial"/>
          <w:sz w:val="24"/>
          <w:szCs w:val="24"/>
        </w:rPr>
        <w:t>d) Baseado no padrão obtido na figura 2B, em qual dos cinco fragmentos da figura 2A  ocorreu a integração do genoma viral</w:t>
      </w:r>
      <w:r w:rsidR="005E55BC">
        <w:rPr>
          <w:rFonts w:ascii="Arial" w:hAnsi="Arial" w:cs="Arial"/>
          <w:sz w:val="24"/>
          <w:szCs w:val="24"/>
        </w:rPr>
        <w:t>.</w:t>
      </w:r>
    </w:p>
    <w:p w14:paraId="527C293D" w14:textId="77777777" w:rsidR="00B62949" w:rsidRPr="00B62949" w:rsidRDefault="00B62949" w:rsidP="00B62949">
      <w:pPr>
        <w:pStyle w:val="ListParagraph"/>
        <w:jc w:val="both"/>
        <w:rPr>
          <w:rFonts w:ascii="Arial" w:hAnsi="Arial" w:cs="Arial"/>
          <w:sz w:val="24"/>
          <w:szCs w:val="24"/>
        </w:rPr>
      </w:pPr>
    </w:p>
    <w:p w14:paraId="0046DDAF" w14:textId="77777777" w:rsidR="00F73C63" w:rsidRDefault="00F73C63" w:rsidP="00F73C63">
      <w:pPr>
        <w:pStyle w:val="ListParagraph"/>
        <w:jc w:val="both"/>
        <w:rPr>
          <w:rFonts w:ascii="Arial" w:hAnsi="Arial" w:cs="Arial"/>
          <w:sz w:val="24"/>
          <w:szCs w:val="24"/>
        </w:rPr>
      </w:pPr>
    </w:p>
    <w:p w14:paraId="39B331DB" w14:textId="77777777" w:rsidR="00F73C63" w:rsidRDefault="00F73C63" w:rsidP="00F73C63">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5133"/>
        <w:gridCol w:w="3655"/>
      </w:tblGrid>
      <w:tr w:rsidR="00F73C63" w14:paraId="1822F8A8" w14:textId="77777777" w:rsidTr="00132A46">
        <w:tc>
          <w:tcPr>
            <w:tcW w:w="5341" w:type="dxa"/>
            <w:tcBorders>
              <w:top w:val="nil"/>
              <w:left w:val="nil"/>
              <w:bottom w:val="nil"/>
              <w:right w:val="nil"/>
            </w:tcBorders>
          </w:tcPr>
          <w:p w14:paraId="2A8C69A4" w14:textId="77777777" w:rsidR="00F73C63" w:rsidRDefault="00F73C63" w:rsidP="00132A46">
            <w:pPr>
              <w:pStyle w:val="ListParagraph"/>
              <w:ind w:left="0"/>
              <w:jc w:val="both"/>
              <w:rPr>
                <w:rFonts w:ascii="Arial" w:hAnsi="Arial" w:cs="Arial"/>
                <w:sz w:val="24"/>
                <w:szCs w:val="24"/>
              </w:rPr>
            </w:pPr>
            <w:r>
              <w:rPr>
                <w:rFonts w:ascii="Arial" w:hAnsi="Arial" w:cs="Arial"/>
                <w:noProof/>
                <w:sz w:val="24"/>
                <w:szCs w:val="24"/>
                <w:lang w:val="en-US"/>
              </w:rPr>
              <w:drawing>
                <wp:inline distT="0" distB="0" distL="0" distR="0" wp14:anchorId="574287E0" wp14:editId="2E638188">
                  <wp:extent cx="2986405" cy="1944370"/>
                  <wp:effectExtent l="0" t="0" r="10795" b="11430"/>
                  <wp:docPr id="7" name="Picture 7" descr="Macintosh HD:Users:carlosmenck:Desktop:Screen Shot 2019-03-06 at 14.2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losmenck:Desktop:Screen Shot 2019-03-06 at 14.26.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6405" cy="1944370"/>
                          </a:xfrm>
                          <a:prstGeom prst="rect">
                            <a:avLst/>
                          </a:prstGeom>
                          <a:noFill/>
                          <a:ln>
                            <a:noFill/>
                          </a:ln>
                        </pic:spPr>
                      </pic:pic>
                    </a:graphicData>
                  </a:graphic>
                </wp:inline>
              </w:drawing>
            </w:r>
          </w:p>
        </w:tc>
        <w:tc>
          <w:tcPr>
            <w:tcW w:w="5341" w:type="dxa"/>
            <w:tcBorders>
              <w:top w:val="nil"/>
              <w:left w:val="nil"/>
              <w:bottom w:val="nil"/>
              <w:right w:val="nil"/>
            </w:tcBorders>
          </w:tcPr>
          <w:p w14:paraId="67BD7A96" w14:textId="77777777" w:rsidR="00F73C63" w:rsidRPr="00380342" w:rsidRDefault="00F73C63" w:rsidP="00132A46">
            <w:pPr>
              <w:pStyle w:val="ListParagraph"/>
              <w:jc w:val="both"/>
              <w:rPr>
                <w:rFonts w:ascii="Arial" w:hAnsi="Arial" w:cs="Arial"/>
                <w:i/>
                <w:sz w:val="24"/>
                <w:szCs w:val="24"/>
              </w:rPr>
            </w:pPr>
            <w:r w:rsidRPr="00380342">
              <w:rPr>
                <w:rFonts w:ascii="Arial" w:hAnsi="Arial" w:cs="Arial"/>
                <w:i/>
                <w:sz w:val="24"/>
                <w:szCs w:val="24"/>
              </w:rPr>
              <w:t>Figura 1. Esquema de integração do DNA viral no genoma de células.</w:t>
            </w:r>
          </w:p>
          <w:p w14:paraId="6B14CDAB" w14:textId="77777777" w:rsidR="00F73C63" w:rsidRDefault="00F73C63" w:rsidP="00132A46">
            <w:pPr>
              <w:pStyle w:val="ListParagraph"/>
              <w:ind w:left="0"/>
              <w:jc w:val="both"/>
              <w:rPr>
                <w:rFonts w:ascii="Arial" w:hAnsi="Arial" w:cs="Arial"/>
                <w:sz w:val="24"/>
                <w:szCs w:val="24"/>
              </w:rPr>
            </w:pPr>
          </w:p>
        </w:tc>
      </w:tr>
    </w:tbl>
    <w:p w14:paraId="10AA0F4A" w14:textId="77777777" w:rsidR="00F73C63" w:rsidRDefault="00F73C63" w:rsidP="00F73C63">
      <w:pPr>
        <w:pStyle w:val="ListParagraph"/>
        <w:jc w:val="both"/>
        <w:rPr>
          <w:rFonts w:ascii="Arial" w:hAnsi="Arial" w:cs="Arial"/>
          <w:sz w:val="24"/>
          <w:szCs w:val="24"/>
        </w:rPr>
      </w:pPr>
    </w:p>
    <w:p w14:paraId="67193D95" w14:textId="77777777" w:rsidR="00F73C63" w:rsidRDefault="00F73C63" w:rsidP="00F73C63">
      <w:pPr>
        <w:pStyle w:val="ListParagraph"/>
        <w:jc w:val="both"/>
        <w:rPr>
          <w:rFonts w:ascii="Arial" w:hAnsi="Arial" w:cs="Arial"/>
          <w:sz w:val="24"/>
          <w:szCs w:val="24"/>
        </w:rPr>
      </w:pPr>
    </w:p>
    <w:p w14:paraId="4E5C63B5" w14:textId="77777777" w:rsidR="00F73C63" w:rsidRDefault="00F73C63" w:rsidP="00F73C63">
      <w:pPr>
        <w:pStyle w:val="ListParagraph"/>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3908"/>
      </w:tblGrid>
      <w:tr w:rsidR="00F73C63" w14:paraId="42841C0C" w14:textId="77777777" w:rsidTr="00132A46">
        <w:tc>
          <w:tcPr>
            <w:tcW w:w="5341" w:type="dxa"/>
          </w:tcPr>
          <w:p w14:paraId="4969E3C8" w14:textId="77777777" w:rsidR="00F73C63" w:rsidRDefault="00F73C63" w:rsidP="00132A46">
            <w:pPr>
              <w:pStyle w:val="ListParagraph"/>
              <w:ind w:left="0"/>
              <w:jc w:val="both"/>
              <w:rPr>
                <w:rFonts w:ascii="Arial" w:hAnsi="Arial" w:cs="Arial"/>
                <w:sz w:val="24"/>
                <w:szCs w:val="24"/>
              </w:rPr>
            </w:pPr>
            <w:r>
              <w:rPr>
                <w:rFonts w:ascii="Arial" w:hAnsi="Arial" w:cs="Arial"/>
                <w:noProof/>
                <w:sz w:val="24"/>
                <w:szCs w:val="24"/>
                <w:lang w:val="en-US"/>
              </w:rPr>
              <w:lastRenderedPageBreak/>
              <w:drawing>
                <wp:inline distT="0" distB="0" distL="0" distR="0" wp14:anchorId="3A6CFA20" wp14:editId="01C46E8D">
                  <wp:extent cx="2515820" cy="4446342"/>
                  <wp:effectExtent l="0" t="0" r="0" b="0"/>
                  <wp:docPr id="6" name="Picture 6" descr="Macintosh HD:Users:carlosmenck:Desktop:Screen Shot 2019-03-06 at 14.2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losmenck:Desktop:Screen Shot 2019-03-06 at 14.25.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820" cy="4446342"/>
                          </a:xfrm>
                          <a:prstGeom prst="rect">
                            <a:avLst/>
                          </a:prstGeom>
                          <a:noFill/>
                          <a:ln>
                            <a:noFill/>
                          </a:ln>
                        </pic:spPr>
                      </pic:pic>
                    </a:graphicData>
                  </a:graphic>
                </wp:inline>
              </w:drawing>
            </w:r>
          </w:p>
        </w:tc>
        <w:tc>
          <w:tcPr>
            <w:tcW w:w="5341" w:type="dxa"/>
          </w:tcPr>
          <w:p w14:paraId="7E543F00" w14:textId="77777777" w:rsidR="00F73C63" w:rsidRPr="00380342" w:rsidRDefault="00F73C63" w:rsidP="00132A46">
            <w:pPr>
              <w:pStyle w:val="ListParagraph"/>
              <w:ind w:left="0"/>
              <w:jc w:val="both"/>
              <w:rPr>
                <w:rFonts w:ascii="Arial" w:hAnsi="Arial" w:cs="Arial"/>
                <w:i/>
                <w:sz w:val="24"/>
                <w:szCs w:val="24"/>
              </w:rPr>
            </w:pPr>
            <w:r w:rsidRPr="00380342">
              <w:rPr>
                <w:rFonts w:ascii="Arial" w:hAnsi="Arial" w:cs="Arial"/>
                <w:i/>
                <w:sz w:val="24"/>
                <w:szCs w:val="24"/>
              </w:rPr>
              <w:t xml:space="preserve">Figura 2. Determinando a estrutura da integração do genoma viral no genoma celular. (A) esquema indicando o mapa de restrição do genoma viral, indicando os segmentos de </w:t>
            </w:r>
            <w:r w:rsidRPr="00B341DA">
              <w:rPr>
                <w:rFonts w:ascii="Arial" w:hAnsi="Arial" w:cs="Arial"/>
                <w:sz w:val="24"/>
                <w:szCs w:val="24"/>
              </w:rPr>
              <w:t>a</w:t>
            </w:r>
            <w:r w:rsidRPr="00380342">
              <w:rPr>
                <w:rFonts w:ascii="Arial" w:hAnsi="Arial" w:cs="Arial"/>
                <w:i/>
                <w:sz w:val="24"/>
                <w:szCs w:val="24"/>
              </w:rPr>
              <w:t xml:space="preserve"> </w:t>
            </w:r>
            <w:proofErr w:type="spellStart"/>
            <w:r w:rsidRPr="00380342">
              <w:rPr>
                <w:rFonts w:ascii="Arial" w:hAnsi="Arial" w:cs="Arial"/>
                <w:i/>
                <w:sz w:val="24"/>
                <w:szCs w:val="24"/>
              </w:rPr>
              <w:t>a</w:t>
            </w:r>
            <w:proofErr w:type="spellEnd"/>
            <w:r w:rsidRPr="00380342">
              <w:rPr>
                <w:rFonts w:ascii="Arial" w:hAnsi="Arial" w:cs="Arial"/>
                <w:i/>
                <w:sz w:val="24"/>
                <w:szCs w:val="24"/>
              </w:rPr>
              <w:t xml:space="preserve"> </w:t>
            </w:r>
            <w:r w:rsidRPr="00B341DA">
              <w:rPr>
                <w:rFonts w:ascii="Arial" w:hAnsi="Arial" w:cs="Arial"/>
                <w:sz w:val="24"/>
                <w:szCs w:val="24"/>
              </w:rPr>
              <w:t>e</w:t>
            </w:r>
            <w:r w:rsidRPr="00380342">
              <w:rPr>
                <w:rFonts w:ascii="Arial" w:hAnsi="Arial" w:cs="Arial"/>
                <w:i/>
                <w:sz w:val="24"/>
                <w:szCs w:val="24"/>
              </w:rPr>
              <w:t xml:space="preserve">. (B) Resultado de Southern </w:t>
            </w:r>
            <w:proofErr w:type="spellStart"/>
            <w:r w:rsidRPr="00380342">
              <w:rPr>
                <w:rFonts w:ascii="Arial" w:hAnsi="Arial" w:cs="Arial"/>
                <w:i/>
                <w:sz w:val="24"/>
                <w:szCs w:val="24"/>
              </w:rPr>
              <w:t>blot</w:t>
            </w:r>
            <w:proofErr w:type="spellEnd"/>
            <w:r w:rsidRPr="00380342">
              <w:rPr>
                <w:rFonts w:ascii="Arial" w:hAnsi="Arial" w:cs="Arial"/>
                <w:i/>
                <w:sz w:val="24"/>
                <w:szCs w:val="24"/>
              </w:rPr>
              <w:t xml:space="preserve"> pela digestão do DNA viral e DNA celular pelas enzimas de restrição indicadas. O DNA é separado em eletroforese em </w:t>
            </w:r>
            <w:proofErr w:type="spellStart"/>
            <w:r w:rsidRPr="00380342">
              <w:rPr>
                <w:rFonts w:ascii="Arial" w:hAnsi="Arial" w:cs="Arial"/>
                <w:i/>
                <w:sz w:val="24"/>
                <w:szCs w:val="24"/>
              </w:rPr>
              <w:t>agarose</w:t>
            </w:r>
            <w:proofErr w:type="spellEnd"/>
            <w:r w:rsidRPr="00380342">
              <w:rPr>
                <w:rFonts w:ascii="Arial" w:hAnsi="Arial" w:cs="Arial"/>
                <w:i/>
                <w:sz w:val="24"/>
                <w:szCs w:val="24"/>
              </w:rPr>
              <w:t>. Nesse tipo de método fragmentos menores migram mais que fragmentos maiores.</w:t>
            </w:r>
          </w:p>
          <w:p w14:paraId="0101F0EB" w14:textId="77777777" w:rsidR="00F73C63" w:rsidRDefault="00F73C63" w:rsidP="00132A46">
            <w:pPr>
              <w:pStyle w:val="ListParagraph"/>
              <w:ind w:left="0"/>
              <w:jc w:val="both"/>
              <w:rPr>
                <w:rFonts w:ascii="Arial" w:hAnsi="Arial" w:cs="Arial"/>
                <w:sz w:val="24"/>
                <w:szCs w:val="24"/>
              </w:rPr>
            </w:pPr>
          </w:p>
        </w:tc>
      </w:tr>
    </w:tbl>
    <w:p w14:paraId="6134C66F" w14:textId="77777777" w:rsidR="00F73C63" w:rsidRDefault="00F73C63" w:rsidP="00F73C63">
      <w:pPr>
        <w:pStyle w:val="ListParagraph"/>
        <w:jc w:val="both"/>
        <w:rPr>
          <w:rFonts w:ascii="Arial" w:hAnsi="Arial" w:cs="Arial"/>
          <w:sz w:val="24"/>
          <w:szCs w:val="24"/>
        </w:rPr>
      </w:pPr>
    </w:p>
    <w:p w14:paraId="40AD7FF8" w14:textId="77777777" w:rsidR="00F73C63" w:rsidRDefault="00F73C63" w:rsidP="00F73C63">
      <w:pPr>
        <w:pStyle w:val="ListParagraph"/>
        <w:jc w:val="both"/>
        <w:rPr>
          <w:rFonts w:ascii="Arial" w:hAnsi="Arial" w:cs="Arial"/>
          <w:sz w:val="24"/>
          <w:szCs w:val="24"/>
        </w:rPr>
      </w:pPr>
    </w:p>
    <w:p w14:paraId="5B13194B" w14:textId="77777777" w:rsidR="00F73C63" w:rsidRDefault="00F73C63" w:rsidP="00F73C63">
      <w:pPr>
        <w:pStyle w:val="ListParagraph"/>
        <w:jc w:val="both"/>
        <w:rPr>
          <w:rFonts w:ascii="Arial" w:hAnsi="Arial" w:cs="Arial"/>
          <w:sz w:val="24"/>
          <w:szCs w:val="24"/>
        </w:rPr>
      </w:pPr>
    </w:p>
    <w:p w14:paraId="06BE480A" w14:textId="2115B91B" w:rsidR="00F73C63" w:rsidRDefault="00EF38B1" w:rsidP="00F73C63">
      <w:pPr>
        <w:pStyle w:val="ListParagraph"/>
        <w:jc w:val="both"/>
        <w:rPr>
          <w:rFonts w:ascii="Arial" w:hAnsi="Arial" w:cs="Arial"/>
          <w:sz w:val="24"/>
          <w:szCs w:val="24"/>
        </w:rPr>
      </w:pPr>
      <w:r>
        <w:rPr>
          <w:rFonts w:ascii="Arial" w:hAnsi="Arial" w:cs="Arial"/>
          <w:sz w:val="24"/>
          <w:szCs w:val="24"/>
        </w:rPr>
        <w:t>2. (8-96</w:t>
      </w:r>
      <w:r w:rsidR="00F73C63">
        <w:rPr>
          <w:rFonts w:ascii="Arial" w:hAnsi="Arial" w:cs="Arial"/>
          <w:sz w:val="24"/>
          <w:szCs w:val="24"/>
        </w:rPr>
        <w:t xml:space="preserve">) A distrofia molecular de </w:t>
      </w:r>
      <w:proofErr w:type="spellStart"/>
      <w:r w:rsidR="00F73C63">
        <w:rPr>
          <w:rFonts w:ascii="Arial" w:hAnsi="Arial" w:cs="Arial"/>
          <w:sz w:val="24"/>
          <w:szCs w:val="24"/>
        </w:rPr>
        <w:t>Duchenne</w:t>
      </w:r>
      <w:proofErr w:type="spellEnd"/>
      <w:r w:rsidR="00F73C63">
        <w:rPr>
          <w:rFonts w:ascii="Arial" w:hAnsi="Arial" w:cs="Arial"/>
          <w:sz w:val="24"/>
          <w:szCs w:val="24"/>
        </w:rPr>
        <w:t xml:space="preserve"> (DMD) é uma das mais comuns doenças genéticas humanas, afetando 1 a 3500 nascimentos de meninos.  Um terço de cada caso novo envolve mutações novas. O gene </w:t>
      </w:r>
      <w:r w:rsidR="00F73C63" w:rsidRPr="00A774F3">
        <w:rPr>
          <w:rFonts w:ascii="Arial" w:hAnsi="Arial" w:cs="Arial"/>
          <w:i/>
          <w:sz w:val="24"/>
          <w:szCs w:val="24"/>
        </w:rPr>
        <w:t>DMD</w:t>
      </w:r>
      <w:r w:rsidR="00F73C63">
        <w:rPr>
          <w:rFonts w:ascii="Arial" w:hAnsi="Arial" w:cs="Arial"/>
          <w:sz w:val="24"/>
          <w:szCs w:val="24"/>
        </w:rPr>
        <w:t xml:space="preserve"> codifica a </w:t>
      </w:r>
      <w:proofErr w:type="spellStart"/>
      <w:r w:rsidR="00F73C63">
        <w:rPr>
          <w:rFonts w:ascii="Arial" w:hAnsi="Arial" w:cs="Arial"/>
          <w:sz w:val="24"/>
          <w:szCs w:val="24"/>
        </w:rPr>
        <w:t>distrofina</w:t>
      </w:r>
      <w:proofErr w:type="spellEnd"/>
      <w:r w:rsidR="00F73C63">
        <w:rPr>
          <w:rFonts w:ascii="Arial" w:hAnsi="Arial" w:cs="Arial"/>
          <w:sz w:val="24"/>
          <w:szCs w:val="24"/>
        </w:rPr>
        <w:t xml:space="preserve"> e está localizado no cromossomo X, sendo maior que 2 milhões de pares de base em tamanho, contendo pelo menos 70 exons. Deleções grandes são responsáveis por aproximadamente 60% de todos os casos da doença, sendo em geral concentrados em duas regiões do gene. </w:t>
      </w:r>
    </w:p>
    <w:p w14:paraId="4CDE496D" w14:textId="77777777" w:rsidR="00F73C63" w:rsidRDefault="00F73C63" w:rsidP="00F73C63">
      <w:pPr>
        <w:pStyle w:val="ListParagraph"/>
        <w:jc w:val="both"/>
        <w:rPr>
          <w:rFonts w:ascii="Arial" w:hAnsi="Arial" w:cs="Arial"/>
          <w:sz w:val="24"/>
          <w:szCs w:val="24"/>
        </w:rPr>
      </w:pPr>
      <w:r>
        <w:rPr>
          <w:rFonts w:ascii="Arial" w:hAnsi="Arial" w:cs="Arial"/>
          <w:sz w:val="24"/>
          <w:szCs w:val="24"/>
        </w:rPr>
        <w:tab/>
        <w:t xml:space="preserve">O enorme tamanho do gene </w:t>
      </w:r>
      <w:r w:rsidRPr="00A774F3">
        <w:rPr>
          <w:rFonts w:ascii="Arial" w:hAnsi="Arial" w:cs="Arial"/>
          <w:i/>
          <w:sz w:val="24"/>
          <w:szCs w:val="24"/>
        </w:rPr>
        <w:t>DMD</w:t>
      </w:r>
      <w:r>
        <w:rPr>
          <w:rFonts w:ascii="Arial" w:hAnsi="Arial" w:cs="Arial"/>
          <w:sz w:val="24"/>
          <w:szCs w:val="24"/>
        </w:rPr>
        <w:t xml:space="preserve"> complica a análise das mutações. Uma abordagem rápida que permite identificar 80% de todas deleções é chamado PCR multiplex. Basicamente, essa abordagem utiliza múltiplos pares de iniciadores (</w:t>
      </w:r>
      <w:proofErr w:type="spellStart"/>
      <w:r>
        <w:rPr>
          <w:rFonts w:ascii="Arial" w:hAnsi="Arial" w:cs="Arial"/>
          <w:i/>
          <w:sz w:val="24"/>
          <w:szCs w:val="24"/>
        </w:rPr>
        <w:t>primers</w:t>
      </w:r>
      <w:proofErr w:type="spellEnd"/>
      <w:r>
        <w:rPr>
          <w:rFonts w:ascii="Arial" w:hAnsi="Arial" w:cs="Arial"/>
          <w:sz w:val="24"/>
          <w:szCs w:val="24"/>
        </w:rPr>
        <w:t xml:space="preserve">) para PCR para amplificar nove diferentes segmentos do gene, nas duas regiões onde as deleções são frequentes (Figura 3A). Estabelecendo </w:t>
      </w:r>
      <w:proofErr w:type="spellStart"/>
      <w:r>
        <w:rPr>
          <w:rFonts w:ascii="Arial" w:hAnsi="Arial" w:cs="Arial"/>
          <w:i/>
          <w:sz w:val="24"/>
          <w:szCs w:val="24"/>
        </w:rPr>
        <w:t>primers</w:t>
      </w:r>
      <w:proofErr w:type="spellEnd"/>
      <w:r>
        <w:rPr>
          <w:rFonts w:ascii="Arial" w:hAnsi="Arial" w:cs="Arial"/>
          <w:i/>
          <w:sz w:val="24"/>
          <w:szCs w:val="24"/>
        </w:rPr>
        <w:t xml:space="preserve"> </w:t>
      </w:r>
      <w:r>
        <w:rPr>
          <w:rFonts w:ascii="Arial" w:hAnsi="Arial" w:cs="Arial"/>
          <w:sz w:val="24"/>
          <w:szCs w:val="24"/>
        </w:rPr>
        <w:t xml:space="preserve"> que amplificam produtos com tamanhos distintos, é possível amplificá-los e analisar os nove segmentos em apenas uma reação de PCR. Um exemplo de análise multiplex para 6 pacientes, homens, com DMD é apresentada na figura 3B.</w:t>
      </w:r>
    </w:p>
    <w:p w14:paraId="06B3B15E" w14:textId="77777777" w:rsidR="00F73C63" w:rsidRDefault="00F73C63" w:rsidP="00F73C63">
      <w:pPr>
        <w:pStyle w:val="ListParagraph"/>
        <w:numPr>
          <w:ilvl w:val="0"/>
          <w:numId w:val="1"/>
        </w:numPr>
        <w:jc w:val="both"/>
        <w:rPr>
          <w:rFonts w:ascii="Arial" w:hAnsi="Arial" w:cs="Arial"/>
          <w:sz w:val="24"/>
          <w:szCs w:val="24"/>
        </w:rPr>
      </w:pPr>
      <w:r>
        <w:rPr>
          <w:rFonts w:ascii="Arial" w:hAnsi="Arial" w:cs="Arial"/>
          <w:sz w:val="24"/>
          <w:szCs w:val="24"/>
        </w:rPr>
        <w:t>Por que essa doença genética é tão rara em mulheres, acometendo principalmente homens?</w:t>
      </w:r>
    </w:p>
    <w:p w14:paraId="36A823AA" w14:textId="77777777" w:rsidR="00F73C63" w:rsidRDefault="00F73C63" w:rsidP="00F73C63">
      <w:pPr>
        <w:pStyle w:val="ListParagraph"/>
        <w:numPr>
          <w:ilvl w:val="0"/>
          <w:numId w:val="1"/>
        </w:numPr>
        <w:jc w:val="both"/>
        <w:rPr>
          <w:rFonts w:ascii="Arial" w:hAnsi="Arial" w:cs="Arial"/>
          <w:sz w:val="24"/>
          <w:szCs w:val="24"/>
        </w:rPr>
      </w:pPr>
      <w:r>
        <w:rPr>
          <w:rFonts w:ascii="Arial" w:hAnsi="Arial" w:cs="Arial"/>
          <w:sz w:val="24"/>
          <w:szCs w:val="24"/>
        </w:rPr>
        <w:t>Descreva a extensão das deleções em cada um dos pacientes.</w:t>
      </w:r>
    </w:p>
    <w:p w14:paraId="6B6CF34B" w14:textId="77777777" w:rsidR="00F73C63" w:rsidRDefault="00F73C63" w:rsidP="00F73C63">
      <w:pPr>
        <w:pStyle w:val="ListParagraph"/>
        <w:numPr>
          <w:ilvl w:val="0"/>
          <w:numId w:val="1"/>
        </w:numPr>
        <w:jc w:val="both"/>
        <w:rPr>
          <w:rFonts w:ascii="Arial" w:hAnsi="Arial" w:cs="Arial"/>
          <w:sz w:val="24"/>
          <w:szCs w:val="24"/>
        </w:rPr>
      </w:pPr>
      <w:r>
        <w:rPr>
          <w:rFonts w:ascii="Arial" w:hAnsi="Arial" w:cs="Arial"/>
          <w:sz w:val="24"/>
          <w:szCs w:val="24"/>
        </w:rPr>
        <w:lastRenderedPageBreak/>
        <w:t>Por que é adicionado no experimento os controles “normal” e “0”?</w:t>
      </w:r>
    </w:p>
    <w:p w14:paraId="4DBE6979" w14:textId="77777777" w:rsidR="00F73C63" w:rsidRPr="00380342" w:rsidRDefault="00F73C63" w:rsidP="00F73C63">
      <w:pPr>
        <w:pStyle w:val="ListParagraph"/>
        <w:numPr>
          <w:ilvl w:val="0"/>
          <w:numId w:val="1"/>
        </w:numPr>
        <w:jc w:val="both"/>
        <w:rPr>
          <w:rFonts w:ascii="Arial" w:hAnsi="Arial" w:cs="Arial"/>
          <w:sz w:val="24"/>
          <w:szCs w:val="24"/>
        </w:rPr>
      </w:pPr>
      <w:r>
        <w:rPr>
          <w:rFonts w:ascii="Arial" w:hAnsi="Arial" w:cs="Arial"/>
          <w:sz w:val="24"/>
          <w:szCs w:val="24"/>
        </w:rPr>
        <w:t>Que controles adicionais você pode sugerir para compreender melhor e confirmar sua análise do paciente F?</w:t>
      </w:r>
    </w:p>
    <w:p w14:paraId="1CE13015" w14:textId="77777777" w:rsidR="00F73C63" w:rsidRDefault="00F73C63" w:rsidP="00F73C63">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val="en-US"/>
        </w:rPr>
        <w:drawing>
          <wp:inline distT="0" distB="0" distL="0" distR="0" wp14:anchorId="67D1D14A" wp14:editId="7756FB51">
            <wp:extent cx="4670291" cy="3875895"/>
            <wp:effectExtent l="0" t="0" r="3810" b="10795"/>
            <wp:docPr id="2" name="Picture 2" descr="Macintosh HD:Users:carlosmenck:Desktop:Screen Shot 2019-03-06 at 14.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osmenck:Desktop:Screen Shot 2019-03-06 at 14.01.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0291" cy="3875895"/>
                    </a:xfrm>
                    <a:prstGeom prst="rect">
                      <a:avLst/>
                    </a:prstGeom>
                    <a:noFill/>
                    <a:ln>
                      <a:noFill/>
                    </a:ln>
                  </pic:spPr>
                </pic:pic>
              </a:graphicData>
            </a:graphic>
          </wp:inline>
        </w:drawing>
      </w:r>
    </w:p>
    <w:p w14:paraId="05FE6967" w14:textId="77777777" w:rsidR="00F73C63" w:rsidRPr="00380342" w:rsidRDefault="00F73C63" w:rsidP="00F73C63">
      <w:pPr>
        <w:jc w:val="both"/>
        <w:rPr>
          <w:rFonts w:ascii="Arial" w:hAnsi="Arial" w:cs="Arial"/>
          <w:i/>
          <w:sz w:val="24"/>
          <w:szCs w:val="24"/>
        </w:rPr>
      </w:pPr>
      <w:r w:rsidRPr="00380342">
        <w:rPr>
          <w:rFonts w:ascii="Arial" w:hAnsi="Arial" w:cs="Arial"/>
          <w:i/>
          <w:sz w:val="24"/>
          <w:szCs w:val="24"/>
        </w:rPr>
        <w:t xml:space="preserve">Figura 3. Análise multiplex de deleções em pacientes DMD. (A) Esquema do gene DMD  indicando com setas os nove sítios de amplificação por PCR. (B) Resultado de análise em eletroforese em gel de </w:t>
      </w:r>
      <w:proofErr w:type="spellStart"/>
      <w:r w:rsidRPr="00380342">
        <w:rPr>
          <w:rFonts w:ascii="Arial" w:hAnsi="Arial" w:cs="Arial"/>
          <w:i/>
          <w:sz w:val="24"/>
          <w:szCs w:val="24"/>
        </w:rPr>
        <w:t>agarose</w:t>
      </w:r>
      <w:proofErr w:type="spellEnd"/>
      <w:r w:rsidRPr="00380342">
        <w:rPr>
          <w:rFonts w:ascii="Arial" w:hAnsi="Arial" w:cs="Arial"/>
          <w:i/>
          <w:sz w:val="24"/>
          <w:szCs w:val="24"/>
        </w:rPr>
        <w:t xml:space="preserve"> dos produtos de PCR para 6 diferentes pacientes. “Normal” indica DNA de uma pessoa que não tem a doença. “0” indica o controle negativo, sem DNA aplicado na reação de PCR.</w:t>
      </w:r>
    </w:p>
    <w:p w14:paraId="0C1E4ABF" w14:textId="77777777" w:rsidR="00F73C63" w:rsidRPr="00F73C63" w:rsidRDefault="00F73C63" w:rsidP="00F73C63">
      <w:pPr>
        <w:pStyle w:val="ListParagraph"/>
        <w:numPr>
          <w:ilvl w:val="0"/>
          <w:numId w:val="4"/>
        </w:numPr>
        <w:jc w:val="both"/>
        <w:rPr>
          <w:rFonts w:ascii="Arial" w:hAnsi="Arial" w:cs="Arial"/>
          <w:sz w:val="24"/>
          <w:szCs w:val="24"/>
        </w:rPr>
      </w:pPr>
      <w:r w:rsidRPr="00F73C63">
        <w:rPr>
          <w:rFonts w:ascii="Arial" w:hAnsi="Arial" w:cs="Arial"/>
          <w:sz w:val="24"/>
          <w:szCs w:val="24"/>
        </w:rPr>
        <w:t xml:space="preserve">(4.52) Cerca de 5% do genoma humano é formado por segmentos cromossomos duplicados, sendo que muitos deles apresentam alta similaridade, indicando uma duplicação relativamente recente. Eventualmente, essa alta similaridade facilita recombinação homóloga inapropriada com perda ou ganho do número de segmentos duplicados. Em alguns casos isso pode gerar doenças humanas, tal como o daltonismo, envolvendo cegueira vermelho e verde, que afeta aproximadamente 8% da população dos homens. Os genes envolvido nas pigmentações visuais vermelha e verde localizam-se próximos, no cromossomo X, cada cópia em um segmento da duplicação. Esses genes têm 98% de similaridade ao longo dos genes, incluindo exons e introns; embora os genes podem ser facilmente discriminados pela existência de um sítio extra para a enzima de restrição </w:t>
      </w:r>
      <w:proofErr w:type="spellStart"/>
      <w:r w:rsidRPr="00F73C63">
        <w:rPr>
          <w:rFonts w:ascii="Arial" w:hAnsi="Arial" w:cs="Arial"/>
          <w:i/>
          <w:sz w:val="24"/>
          <w:szCs w:val="24"/>
        </w:rPr>
        <w:t>Rsa</w:t>
      </w:r>
      <w:r w:rsidRPr="00F73C63">
        <w:rPr>
          <w:rFonts w:ascii="Arial" w:hAnsi="Arial" w:cs="Arial"/>
          <w:sz w:val="24"/>
          <w:szCs w:val="24"/>
        </w:rPr>
        <w:t>I</w:t>
      </w:r>
      <w:proofErr w:type="spellEnd"/>
      <w:r w:rsidRPr="00F73C63">
        <w:rPr>
          <w:rFonts w:ascii="Arial" w:hAnsi="Arial" w:cs="Arial"/>
          <w:sz w:val="24"/>
          <w:szCs w:val="24"/>
        </w:rPr>
        <w:t xml:space="preserve"> em apenas um dos genes. Assim, a digestão com </w:t>
      </w:r>
      <w:proofErr w:type="spellStart"/>
      <w:r w:rsidRPr="00F73C63">
        <w:rPr>
          <w:rFonts w:ascii="Arial" w:hAnsi="Arial" w:cs="Arial"/>
          <w:i/>
          <w:sz w:val="24"/>
          <w:szCs w:val="24"/>
        </w:rPr>
        <w:t>Rsa</w:t>
      </w:r>
      <w:r w:rsidRPr="00F73C63">
        <w:rPr>
          <w:rFonts w:ascii="Arial" w:hAnsi="Arial" w:cs="Arial"/>
          <w:sz w:val="24"/>
          <w:szCs w:val="24"/>
        </w:rPr>
        <w:t>I</w:t>
      </w:r>
      <w:proofErr w:type="spellEnd"/>
      <w:r w:rsidRPr="00F73C63">
        <w:rPr>
          <w:rFonts w:ascii="Arial" w:hAnsi="Arial" w:cs="Arial"/>
          <w:sz w:val="24"/>
          <w:szCs w:val="24"/>
        </w:rPr>
        <w:t xml:space="preserve"> origina um fragmento mais longo no gene </w:t>
      </w:r>
      <w:proofErr w:type="spellStart"/>
      <w:r w:rsidRPr="00F73C63">
        <w:rPr>
          <w:rFonts w:ascii="Arial" w:hAnsi="Arial" w:cs="Arial"/>
          <w:i/>
          <w:sz w:val="24"/>
          <w:szCs w:val="24"/>
        </w:rPr>
        <w:t>Rsa</w:t>
      </w:r>
      <w:r w:rsidRPr="00F73C63">
        <w:rPr>
          <w:rFonts w:ascii="Arial" w:hAnsi="Arial" w:cs="Arial"/>
          <w:sz w:val="24"/>
          <w:szCs w:val="24"/>
        </w:rPr>
        <w:t>I-A</w:t>
      </w:r>
      <w:proofErr w:type="spellEnd"/>
      <w:r w:rsidRPr="00F73C63">
        <w:rPr>
          <w:rFonts w:ascii="Arial" w:hAnsi="Arial" w:cs="Arial"/>
          <w:sz w:val="24"/>
          <w:szCs w:val="24"/>
        </w:rPr>
        <w:t xml:space="preserve"> do que o gene </w:t>
      </w:r>
      <w:proofErr w:type="spellStart"/>
      <w:r w:rsidRPr="00F73C63">
        <w:rPr>
          <w:rFonts w:ascii="Arial" w:hAnsi="Arial" w:cs="Arial"/>
          <w:i/>
          <w:sz w:val="24"/>
          <w:szCs w:val="24"/>
        </w:rPr>
        <w:t>Rsa</w:t>
      </w:r>
      <w:r w:rsidRPr="00F73C63">
        <w:rPr>
          <w:rFonts w:ascii="Arial" w:hAnsi="Arial" w:cs="Arial"/>
          <w:sz w:val="24"/>
          <w:szCs w:val="24"/>
        </w:rPr>
        <w:t>I</w:t>
      </w:r>
      <w:proofErr w:type="spellEnd"/>
      <w:r w:rsidRPr="00F73C63">
        <w:rPr>
          <w:rFonts w:ascii="Arial" w:hAnsi="Arial" w:cs="Arial"/>
          <w:sz w:val="24"/>
          <w:szCs w:val="24"/>
        </w:rPr>
        <w:t xml:space="preserve">-B, o que é chamado de </w:t>
      </w:r>
      <w:proofErr w:type="spellStart"/>
      <w:r w:rsidRPr="00F73C63">
        <w:rPr>
          <w:rFonts w:ascii="Arial" w:hAnsi="Arial" w:cs="Arial"/>
          <w:i/>
          <w:sz w:val="24"/>
          <w:szCs w:val="24"/>
        </w:rPr>
        <w:t>restriction</w:t>
      </w:r>
      <w:proofErr w:type="spellEnd"/>
      <w:r w:rsidRPr="00F73C63">
        <w:rPr>
          <w:rFonts w:ascii="Arial" w:hAnsi="Arial" w:cs="Arial"/>
          <w:i/>
          <w:sz w:val="24"/>
          <w:szCs w:val="24"/>
        </w:rPr>
        <w:t xml:space="preserve"> </w:t>
      </w:r>
      <w:proofErr w:type="spellStart"/>
      <w:r w:rsidRPr="00F73C63">
        <w:rPr>
          <w:rFonts w:ascii="Arial" w:hAnsi="Arial" w:cs="Arial"/>
          <w:i/>
          <w:sz w:val="24"/>
          <w:szCs w:val="24"/>
        </w:rPr>
        <w:t>lenght</w:t>
      </w:r>
      <w:proofErr w:type="spellEnd"/>
      <w:r w:rsidRPr="00F73C63">
        <w:rPr>
          <w:rFonts w:ascii="Arial" w:hAnsi="Arial" w:cs="Arial"/>
          <w:i/>
          <w:sz w:val="24"/>
          <w:szCs w:val="24"/>
        </w:rPr>
        <w:t xml:space="preserve"> </w:t>
      </w:r>
      <w:proofErr w:type="spellStart"/>
      <w:r w:rsidRPr="00F73C63">
        <w:rPr>
          <w:rFonts w:ascii="Arial" w:hAnsi="Arial" w:cs="Arial"/>
          <w:i/>
          <w:sz w:val="24"/>
          <w:szCs w:val="24"/>
        </w:rPr>
        <w:t>polymorphism</w:t>
      </w:r>
      <w:proofErr w:type="spellEnd"/>
      <w:r w:rsidRPr="00F73C63">
        <w:rPr>
          <w:rFonts w:ascii="Arial" w:hAnsi="Arial" w:cs="Arial"/>
          <w:i/>
          <w:sz w:val="24"/>
          <w:szCs w:val="24"/>
        </w:rPr>
        <w:t xml:space="preserve"> </w:t>
      </w:r>
      <w:r w:rsidRPr="00F73C63">
        <w:rPr>
          <w:rFonts w:ascii="Arial" w:hAnsi="Arial" w:cs="Arial"/>
          <w:sz w:val="24"/>
          <w:szCs w:val="24"/>
        </w:rPr>
        <w:t>(RFLP). Esse polimorfismo pode ser usado para ide</w:t>
      </w:r>
      <w:r>
        <w:rPr>
          <w:rFonts w:ascii="Arial" w:hAnsi="Arial" w:cs="Arial"/>
          <w:sz w:val="24"/>
          <w:szCs w:val="24"/>
        </w:rPr>
        <w:t>ntificar os dois genes (figura 4</w:t>
      </w:r>
      <w:r w:rsidRPr="00F73C63">
        <w:rPr>
          <w:rFonts w:ascii="Arial" w:hAnsi="Arial" w:cs="Arial"/>
          <w:sz w:val="24"/>
          <w:szCs w:val="24"/>
        </w:rPr>
        <w:t>).</w:t>
      </w:r>
    </w:p>
    <w:p w14:paraId="012628F4" w14:textId="77777777" w:rsidR="00F73C63" w:rsidRDefault="00F73C63" w:rsidP="00F73C63">
      <w:pPr>
        <w:pStyle w:val="ListParagraph"/>
        <w:ind w:left="644"/>
        <w:jc w:val="both"/>
        <w:rPr>
          <w:rFonts w:ascii="Arial" w:hAnsi="Arial" w:cs="Arial"/>
          <w:sz w:val="24"/>
          <w:szCs w:val="24"/>
        </w:rPr>
      </w:pPr>
    </w:p>
    <w:p w14:paraId="2FFDC885" w14:textId="26717673" w:rsidR="00F73C63" w:rsidRDefault="00F73C63" w:rsidP="00F73C63">
      <w:pPr>
        <w:pStyle w:val="ListParagraph"/>
        <w:numPr>
          <w:ilvl w:val="0"/>
          <w:numId w:val="3"/>
        </w:numPr>
        <w:jc w:val="both"/>
        <w:rPr>
          <w:rFonts w:ascii="Arial" w:hAnsi="Arial" w:cs="Arial"/>
          <w:sz w:val="24"/>
          <w:szCs w:val="24"/>
        </w:rPr>
      </w:pPr>
      <w:r>
        <w:rPr>
          <w:rFonts w:ascii="Arial" w:hAnsi="Arial" w:cs="Arial"/>
          <w:sz w:val="24"/>
          <w:szCs w:val="24"/>
        </w:rPr>
        <w:t xml:space="preserve">Para determinar qual o gene codifica qual pigmento, vários pacientes (sexo masculino), visão normal ou com cegueiras vermelho ou verde foram triados usando uma sonda específica e a enzima </w:t>
      </w:r>
      <w:proofErr w:type="spellStart"/>
      <w:r>
        <w:rPr>
          <w:rFonts w:ascii="Arial" w:hAnsi="Arial" w:cs="Arial"/>
          <w:i/>
          <w:sz w:val="24"/>
          <w:szCs w:val="24"/>
        </w:rPr>
        <w:t>Rsa</w:t>
      </w:r>
      <w:r>
        <w:rPr>
          <w:rFonts w:ascii="Arial" w:hAnsi="Arial" w:cs="Arial"/>
          <w:sz w:val="24"/>
          <w:szCs w:val="24"/>
        </w:rPr>
        <w:t>I</w:t>
      </w:r>
      <w:proofErr w:type="spellEnd"/>
      <w:r>
        <w:rPr>
          <w:rFonts w:ascii="Arial" w:hAnsi="Arial" w:cs="Arial"/>
          <w:sz w:val="24"/>
          <w:szCs w:val="24"/>
        </w:rPr>
        <w:t xml:space="preserve"> (figura 4). Qual gene codific</w:t>
      </w:r>
      <w:r w:rsidR="00DA6A99">
        <w:rPr>
          <w:rFonts w:ascii="Arial" w:hAnsi="Arial" w:cs="Arial"/>
          <w:sz w:val="24"/>
          <w:szCs w:val="24"/>
        </w:rPr>
        <w:t>a o pigmento vermelho e o verde?</w:t>
      </w:r>
    </w:p>
    <w:p w14:paraId="360272C8" w14:textId="77777777" w:rsidR="00F73C63" w:rsidRDefault="00F73C63" w:rsidP="00F73C63">
      <w:pPr>
        <w:pStyle w:val="ListParagraph"/>
        <w:ind w:left="1080"/>
        <w:jc w:val="both"/>
        <w:rPr>
          <w:rFonts w:ascii="Arial" w:hAnsi="Arial" w:cs="Arial"/>
          <w:sz w:val="24"/>
          <w:szCs w:val="24"/>
        </w:rPr>
      </w:pPr>
    </w:p>
    <w:p w14:paraId="16FA272E" w14:textId="77777777" w:rsidR="00F73C63" w:rsidRDefault="00F73C63" w:rsidP="00F73C63">
      <w:pPr>
        <w:pStyle w:val="ListParagraph"/>
        <w:ind w:left="1080"/>
        <w:jc w:val="both"/>
        <w:rPr>
          <w:rFonts w:ascii="Arial" w:hAnsi="Arial" w:cs="Arial"/>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4609"/>
      </w:tblGrid>
      <w:tr w:rsidR="00F73C63" w14:paraId="65D4B556" w14:textId="77777777" w:rsidTr="00132A46">
        <w:tc>
          <w:tcPr>
            <w:tcW w:w="3848" w:type="dxa"/>
          </w:tcPr>
          <w:p w14:paraId="15BDDAA4" w14:textId="77777777" w:rsidR="00F73C63" w:rsidRDefault="00F73C63" w:rsidP="00132A46">
            <w:pPr>
              <w:pStyle w:val="ListParagraph"/>
              <w:ind w:left="0"/>
              <w:jc w:val="both"/>
              <w:rPr>
                <w:rFonts w:ascii="Arial" w:hAnsi="Arial" w:cs="Arial"/>
                <w:sz w:val="24"/>
                <w:szCs w:val="24"/>
              </w:rPr>
            </w:pPr>
            <w:r w:rsidRPr="00A36B0C">
              <w:rPr>
                <w:rFonts w:ascii="Arial" w:hAnsi="Arial" w:cs="Arial"/>
                <w:noProof/>
                <w:sz w:val="24"/>
                <w:szCs w:val="24"/>
                <w:lang w:val="en-US"/>
              </w:rPr>
              <w:drawing>
                <wp:inline distT="0" distB="0" distL="0" distR="0" wp14:anchorId="5EF457CC" wp14:editId="5ED9133C">
                  <wp:extent cx="2245006" cy="1859926"/>
                  <wp:effectExtent l="0" t="0" r="0" b="0"/>
                  <wp:docPr id="3" name="Picture 2" descr="D:\Figures\JPEGs\Chapter_04\figure_0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Figures\JPEGs\Chapter_04\figure_04_10.jpg"/>
                          <pic:cNvPicPr>
                            <a:picLocks noChangeAspect="1" noChangeArrowheads="1"/>
                          </pic:cNvPicPr>
                        </pic:nvPicPr>
                        <pic:blipFill>
                          <a:blip r:embed="rId8" cstate="print"/>
                          <a:srcRect/>
                          <a:stretch>
                            <a:fillRect/>
                          </a:stretch>
                        </pic:blipFill>
                        <pic:spPr bwMode="auto">
                          <a:xfrm>
                            <a:off x="0" y="0"/>
                            <a:ext cx="2245274" cy="1860148"/>
                          </a:xfrm>
                          <a:prstGeom prst="rect">
                            <a:avLst/>
                          </a:prstGeom>
                          <a:noFill/>
                        </pic:spPr>
                      </pic:pic>
                    </a:graphicData>
                  </a:graphic>
                </wp:inline>
              </w:drawing>
            </w:r>
          </w:p>
        </w:tc>
        <w:tc>
          <w:tcPr>
            <w:tcW w:w="5754" w:type="dxa"/>
          </w:tcPr>
          <w:p w14:paraId="2F7991A2" w14:textId="77777777" w:rsidR="00F73C63" w:rsidRPr="00A36B0C" w:rsidRDefault="00F73C63" w:rsidP="00132A46">
            <w:pPr>
              <w:pStyle w:val="ListParagraph"/>
              <w:ind w:left="0"/>
              <w:jc w:val="both"/>
              <w:rPr>
                <w:rFonts w:ascii="Arial" w:hAnsi="Arial" w:cs="Arial"/>
                <w:sz w:val="24"/>
                <w:szCs w:val="24"/>
              </w:rPr>
            </w:pPr>
            <w:r>
              <w:rPr>
                <w:rFonts w:ascii="Arial" w:hAnsi="Arial" w:cs="Arial"/>
                <w:sz w:val="24"/>
                <w:szCs w:val="24"/>
              </w:rPr>
              <w:t xml:space="preserve">Figura 4. </w:t>
            </w:r>
            <w:proofErr w:type="spellStart"/>
            <w:r>
              <w:rPr>
                <w:rFonts w:ascii="Arial" w:hAnsi="Arial" w:cs="Arial"/>
                <w:i/>
                <w:sz w:val="24"/>
                <w:szCs w:val="24"/>
              </w:rPr>
              <w:t>Rsa</w:t>
            </w:r>
            <w:r>
              <w:rPr>
                <w:rFonts w:ascii="Arial" w:hAnsi="Arial" w:cs="Arial"/>
                <w:sz w:val="24"/>
                <w:szCs w:val="24"/>
              </w:rPr>
              <w:t>I</w:t>
            </w:r>
            <w:proofErr w:type="spellEnd"/>
            <w:r>
              <w:rPr>
                <w:rFonts w:ascii="Arial" w:hAnsi="Arial" w:cs="Arial"/>
                <w:sz w:val="24"/>
                <w:szCs w:val="24"/>
              </w:rPr>
              <w:t xml:space="preserve"> polimorfismo em indivíduos de visão normal, ou cegueira verde e vermelha. A posição de migração correspondente a cada gene (identificado com a sonda específica) está indicada do lado esquerdo e os  números representam diferentes indivíduos. </w:t>
            </w:r>
          </w:p>
        </w:tc>
      </w:tr>
    </w:tbl>
    <w:p w14:paraId="2C3D9B01" w14:textId="77777777" w:rsidR="00F73C63" w:rsidRDefault="00F73C63" w:rsidP="00F73C63">
      <w:pPr>
        <w:pStyle w:val="ListParagraph"/>
        <w:ind w:left="1080"/>
        <w:jc w:val="both"/>
        <w:rPr>
          <w:rFonts w:ascii="Arial" w:hAnsi="Arial" w:cs="Arial"/>
          <w:sz w:val="24"/>
          <w:szCs w:val="24"/>
        </w:rPr>
      </w:pPr>
    </w:p>
    <w:p w14:paraId="52704B61" w14:textId="77777777" w:rsidR="00F73C63" w:rsidRDefault="00F73C63" w:rsidP="00F73C63">
      <w:pPr>
        <w:pStyle w:val="ListParagraph"/>
        <w:ind w:left="1080"/>
        <w:jc w:val="both"/>
        <w:rPr>
          <w:rFonts w:ascii="Arial" w:hAnsi="Arial" w:cs="Arial"/>
          <w:sz w:val="24"/>
          <w:szCs w:val="24"/>
        </w:rPr>
      </w:pPr>
    </w:p>
    <w:p w14:paraId="1E410848" w14:textId="73BB7901" w:rsidR="00F73C63" w:rsidRPr="00BC3D9C" w:rsidRDefault="00F73C63" w:rsidP="00F73C63">
      <w:pPr>
        <w:pStyle w:val="ListParagraph"/>
        <w:numPr>
          <w:ilvl w:val="0"/>
          <w:numId w:val="3"/>
        </w:numPr>
        <w:jc w:val="both"/>
        <w:rPr>
          <w:rFonts w:ascii="Arial" w:hAnsi="Arial" w:cs="Arial"/>
          <w:sz w:val="24"/>
          <w:szCs w:val="24"/>
        </w:rPr>
      </w:pPr>
      <w:r>
        <w:rPr>
          <w:rFonts w:ascii="Arial" w:hAnsi="Arial" w:cs="Arial"/>
          <w:sz w:val="24"/>
          <w:szCs w:val="24"/>
        </w:rPr>
        <w:t xml:space="preserve">A intensidade da hibridação em indivíduos normais é constante para o gene </w:t>
      </w:r>
      <w:proofErr w:type="spellStart"/>
      <w:r>
        <w:rPr>
          <w:rFonts w:ascii="Arial" w:hAnsi="Arial" w:cs="Arial"/>
          <w:i/>
          <w:sz w:val="24"/>
          <w:szCs w:val="24"/>
        </w:rPr>
        <w:t>Rsa</w:t>
      </w:r>
      <w:r>
        <w:rPr>
          <w:rFonts w:ascii="Arial" w:hAnsi="Arial" w:cs="Arial"/>
          <w:sz w:val="24"/>
          <w:szCs w:val="24"/>
        </w:rPr>
        <w:t>I</w:t>
      </w:r>
      <w:proofErr w:type="spellEnd"/>
      <w:r>
        <w:rPr>
          <w:rFonts w:ascii="Arial" w:hAnsi="Arial" w:cs="Arial"/>
          <w:sz w:val="24"/>
          <w:szCs w:val="24"/>
        </w:rPr>
        <w:t xml:space="preserve">-B, mas surpreendentemente variável para o gene </w:t>
      </w:r>
      <w:proofErr w:type="spellStart"/>
      <w:r>
        <w:rPr>
          <w:rFonts w:ascii="Arial" w:hAnsi="Arial" w:cs="Arial"/>
          <w:i/>
          <w:sz w:val="24"/>
          <w:szCs w:val="24"/>
        </w:rPr>
        <w:t>Rsa</w:t>
      </w:r>
      <w:r>
        <w:rPr>
          <w:rFonts w:ascii="Arial" w:hAnsi="Arial" w:cs="Arial"/>
          <w:sz w:val="24"/>
          <w:szCs w:val="24"/>
        </w:rPr>
        <w:t>I-A</w:t>
      </w:r>
      <w:proofErr w:type="spellEnd"/>
      <w:r>
        <w:rPr>
          <w:rFonts w:ascii="Arial" w:hAnsi="Arial" w:cs="Arial"/>
          <w:sz w:val="24"/>
          <w:szCs w:val="24"/>
        </w:rPr>
        <w:t xml:space="preserve">. Esta anomalia foi investigada pela digestão do DNA dos indivíduos como </w:t>
      </w:r>
      <w:proofErr w:type="spellStart"/>
      <w:r>
        <w:rPr>
          <w:rFonts w:ascii="Arial" w:hAnsi="Arial" w:cs="Arial"/>
          <w:i/>
          <w:sz w:val="24"/>
          <w:szCs w:val="24"/>
        </w:rPr>
        <w:t>Not</w:t>
      </w:r>
      <w:r>
        <w:rPr>
          <w:rFonts w:ascii="Arial" w:hAnsi="Arial" w:cs="Arial"/>
          <w:sz w:val="24"/>
          <w:szCs w:val="24"/>
        </w:rPr>
        <w:t>I</w:t>
      </w:r>
      <w:proofErr w:type="spellEnd"/>
      <w:r>
        <w:rPr>
          <w:rFonts w:ascii="Arial" w:hAnsi="Arial" w:cs="Arial"/>
          <w:sz w:val="24"/>
          <w:szCs w:val="24"/>
        </w:rPr>
        <w:t xml:space="preserve">, que não cliva </w:t>
      </w:r>
      <w:proofErr w:type="spellStart"/>
      <w:r w:rsidRPr="00354DC6">
        <w:rPr>
          <w:rFonts w:ascii="Arial" w:hAnsi="Arial" w:cs="Arial"/>
          <w:i/>
          <w:sz w:val="24"/>
          <w:szCs w:val="24"/>
        </w:rPr>
        <w:t>RsaI-A</w:t>
      </w:r>
      <w:proofErr w:type="spellEnd"/>
      <w:r w:rsidRPr="00354DC6">
        <w:rPr>
          <w:rFonts w:ascii="Arial" w:hAnsi="Arial" w:cs="Arial"/>
          <w:i/>
          <w:sz w:val="24"/>
          <w:szCs w:val="24"/>
        </w:rPr>
        <w:t xml:space="preserve"> </w:t>
      </w:r>
      <w:r>
        <w:rPr>
          <w:rFonts w:ascii="Arial" w:hAnsi="Arial" w:cs="Arial"/>
          <w:sz w:val="24"/>
          <w:szCs w:val="24"/>
        </w:rPr>
        <w:t xml:space="preserve">ou </w:t>
      </w:r>
      <w:proofErr w:type="spellStart"/>
      <w:r w:rsidRPr="00354DC6">
        <w:rPr>
          <w:rFonts w:ascii="Arial" w:hAnsi="Arial" w:cs="Arial"/>
          <w:i/>
          <w:sz w:val="24"/>
          <w:szCs w:val="24"/>
        </w:rPr>
        <w:t>RsaI</w:t>
      </w:r>
      <w:proofErr w:type="spellEnd"/>
      <w:r w:rsidRPr="00354DC6">
        <w:rPr>
          <w:rFonts w:ascii="Arial" w:hAnsi="Arial" w:cs="Arial"/>
          <w:i/>
          <w:sz w:val="24"/>
          <w:szCs w:val="24"/>
        </w:rPr>
        <w:t>-B</w:t>
      </w:r>
      <w:r>
        <w:rPr>
          <w:rFonts w:ascii="Arial" w:hAnsi="Arial" w:cs="Arial"/>
          <w:sz w:val="24"/>
          <w:szCs w:val="24"/>
        </w:rPr>
        <w:t xml:space="preserve">. Os fragmentos são separados por </w:t>
      </w:r>
      <w:r w:rsidRPr="006A79A1">
        <w:rPr>
          <w:rFonts w:ascii="Arial" w:hAnsi="Arial" w:cs="Arial"/>
          <w:sz w:val="24"/>
          <w:szCs w:val="24"/>
          <w:highlight w:val="yellow"/>
        </w:rPr>
        <w:t>eletroforese de campo pulsado,</w:t>
      </w:r>
      <w:r>
        <w:rPr>
          <w:rFonts w:ascii="Arial" w:hAnsi="Arial" w:cs="Arial"/>
          <w:sz w:val="24"/>
          <w:szCs w:val="24"/>
        </w:rPr>
        <w:t xml:space="preserve"> pois apresentam tamanho muito grande, e hibridados com uma sonda que reconhece ambos genes (figura 5). Qual a base para a intensidade de hibridação de </w:t>
      </w:r>
      <w:proofErr w:type="spellStart"/>
      <w:r>
        <w:rPr>
          <w:rFonts w:ascii="Arial" w:hAnsi="Arial" w:cs="Arial"/>
          <w:i/>
          <w:sz w:val="24"/>
          <w:szCs w:val="24"/>
        </w:rPr>
        <w:t>Rsa</w:t>
      </w:r>
      <w:r>
        <w:rPr>
          <w:rFonts w:ascii="Arial" w:hAnsi="Arial" w:cs="Arial"/>
          <w:sz w:val="24"/>
          <w:szCs w:val="24"/>
        </w:rPr>
        <w:t>I-A</w:t>
      </w:r>
      <w:proofErr w:type="spellEnd"/>
      <w:r>
        <w:rPr>
          <w:rFonts w:ascii="Arial" w:hAnsi="Arial" w:cs="Arial"/>
          <w:sz w:val="24"/>
          <w:szCs w:val="24"/>
        </w:rPr>
        <w:t xml:space="preserve"> em indivíduos com visão normal? Sua explicação pode estar ligada à alta frequência de daltonismo?</w:t>
      </w:r>
    </w:p>
    <w:p w14:paraId="3FE76D46" w14:textId="77777777" w:rsidR="00F73C63" w:rsidRDefault="00F73C63" w:rsidP="00F73C63">
      <w:pPr>
        <w:jc w:val="both"/>
        <w:rPr>
          <w:rFonts w:ascii="Arial" w:hAnsi="Arial" w:cs="Arial"/>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4697"/>
      </w:tblGrid>
      <w:tr w:rsidR="00F73C63" w14:paraId="0A06BC73" w14:textId="77777777" w:rsidTr="00132A46">
        <w:tc>
          <w:tcPr>
            <w:tcW w:w="3848" w:type="dxa"/>
          </w:tcPr>
          <w:p w14:paraId="2C57FC55" w14:textId="77777777" w:rsidR="00F73C63" w:rsidRDefault="00F73C63" w:rsidP="00132A46">
            <w:pPr>
              <w:pStyle w:val="ListParagraph"/>
              <w:ind w:left="0"/>
              <w:jc w:val="both"/>
              <w:rPr>
                <w:rFonts w:ascii="Arial" w:hAnsi="Arial" w:cs="Arial"/>
                <w:sz w:val="24"/>
                <w:szCs w:val="24"/>
              </w:rPr>
            </w:pPr>
            <w:r w:rsidRPr="002C2629">
              <w:rPr>
                <w:rFonts w:ascii="Arial" w:hAnsi="Arial" w:cs="Arial"/>
                <w:noProof/>
                <w:sz w:val="24"/>
                <w:szCs w:val="24"/>
                <w:lang w:val="en-US"/>
              </w:rPr>
              <w:drawing>
                <wp:inline distT="0" distB="0" distL="0" distR="0" wp14:anchorId="48C3D4BD" wp14:editId="1BC53EBD">
                  <wp:extent cx="2007468" cy="2051613"/>
                  <wp:effectExtent l="0" t="0" r="0" b="6350"/>
                  <wp:docPr id="2050" name="Picture 2" descr="D:\Figures\JPEGs\Chapter_04\figure_0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Figures\JPEGs\Chapter_04\figure_04_11.jpg"/>
                          <pic:cNvPicPr>
                            <a:picLocks noChangeAspect="1" noChangeArrowheads="1"/>
                          </pic:cNvPicPr>
                        </pic:nvPicPr>
                        <pic:blipFill>
                          <a:blip r:embed="rId9" cstate="print"/>
                          <a:srcRect/>
                          <a:stretch>
                            <a:fillRect/>
                          </a:stretch>
                        </pic:blipFill>
                        <pic:spPr bwMode="auto">
                          <a:xfrm>
                            <a:off x="0" y="0"/>
                            <a:ext cx="2007516" cy="2051663"/>
                          </a:xfrm>
                          <a:prstGeom prst="rect">
                            <a:avLst/>
                          </a:prstGeom>
                          <a:noFill/>
                        </pic:spPr>
                      </pic:pic>
                    </a:graphicData>
                  </a:graphic>
                </wp:inline>
              </w:drawing>
            </w:r>
          </w:p>
        </w:tc>
        <w:tc>
          <w:tcPr>
            <w:tcW w:w="5754" w:type="dxa"/>
          </w:tcPr>
          <w:p w14:paraId="467823EB" w14:textId="77777777" w:rsidR="00F73C63" w:rsidRPr="00A36B0C" w:rsidRDefault="00F73C63" w:rsidP="00132A46">
            <w:pPr>
              <w:pStyle w:val="ListParagraph"/>
              <w:ind w:left="0"/>
              <w:jc w:val="both"/>
              <w:rPr>
                <w:rFonts w:ascii="Arial" w:hAnsi="Arial" w:cs="Arial"/>
                <w:sz w:val="24"/>
                <w:szCs w:val="24"/>
              </w:rPr>
            </w:pPr>
            <w:r>
              <w:rPr>
                <w:rFonts w:ascii="Arial" w:hAnsi="Arial" w:cs="Arial"/>
                <w:sz w:val="24"/>
                <w:szCs w:val="24"/>
              </w:rPr>
              <w:t xml:space="preserve">Figura 5. Digestão </w:t>
            </w:r>
            <w:proofErr w:type="spellStart"/>
            <w:r>
              <w:rPr>
                <w:rFonts w:ascii="Arial" w:hAnsi="Arial" w:cs="Arial"/>
                <w:i/>
                <w:sz w:val="24"/>
                <w:szCs w:val="24"/>
              </w:rPr>
              <w:t>Not</w:t>
            </w:r>
            <w:r>
              <w:rPr>
                <w:rFonts w:ascii="Arial" w:hAnsi="Arial" w:cs="Arial"/>
                <w:sz w:val="24"/>
                <w:szCs w:val="24"/>
              </w:rPr>
              <w:t>I</w:t>
            </w:r>
            <w:proofErr w:type="spellEnd"/>
            <w:r>
              <w:rPr>
                <w:rFonts w:ascii="Arial" w:hAnsi="Arial" w:cs="Arial"/>
                <w:sz w:val="24"/>
                <w:szCs w:val="24"/>
              </w:rPr>
              <w:t xml:space="preserve"> de DNA de pacientes com visão normal ou com daltonismos (mesmos números da figura 1). A razão A/B foi calculado também pela figura 4 e os valores do tamanho do fragmento estão do lado esquerdo da figura. </w:t>
            </w:r>
          </w:p>
        </w:tc>
      </w:tr>
    </w:tbl>
    <w:p w14:paraId="3F784598" w14:textId="77777777" w:rsidR="00F73C63" w:rsidRPr="002C2629" w:rsidRDefault="00F73C63" w:rsidP="00F73C63">
      <w:pPr>
        <w:jc w:val="both"/>
        <w:rPr>
          <w:rFonts w:ascii="Arial" w:hAnsi="Arial" w:cs="Arial"/>
          <w:sz w:val="24"/>
          <w:szCs w:val="24"/>
        </w:rPr>
      </w:pPr>
    </w:p>
    <w:p w14:paraId="0412AC71" w14:textId="77777777" w:rsidR="00F73C63" w:rsidRDefault="00F73C63" w:rsidP="00F73C63">
      <w:pPr>
        <w:pStyle w:val="ListParagraph"/>
        <w:numPr>
          <w:ilvl w:val="0"/>
          <w:numId w:val="3"/>
        </w:numPr>
        <w:jc w:val="both"/>
        <w:rPr>
          <w:rFonts w:ascii="Arial" w:hAnsi="Arial" w:cs="Arial"/>
          <w:sz w:val="24"/>
          <w:szCs w:val="24"/>
        </w:rPr>
      </w:pPr>
      <w:r>
        <w:rPr>
          <w:rFonts w:ascii="Arial" w:hAnsi="Arial" w:cs="Arial"/>
          <w:sz w:val="24"/>
          <w:szCs w:val="24"/>
        </w:rPr>
        <w:t>Qual é o tamanho do segmento cromossômico duplicado nesse sítio, no genoma humano?</w:t>
      </w:r>
    </w:p>
    <w:p w14:paraId="7A1E133F" w14:textId="77777777" w:rsidR="00BC3D9C" w:rsidRPr="00B67854" w:rsidRDefault="00BC3D9C" w:rsidP="00BC3D9C">
      <w:pPr>
        <w:pStyle w:val="ListParagraph"/>
        <w:ind w:left="1080"/>
        <w:jc w:val="both"/>
        <w:rPr>
          <w:rFonts w:ascii="Arial" w:hAnsi="Arial" w:cs="Arial"/>
          <w:sz w:val="24"/>
          <w:szCs w:val="24"/>
        </w:rPr>
      </w:pPr>
    </w:p>
    <w:p w14:paraId="5B6E24D2" w14:textId="77777777" w:rsidR="00B62949" w:rsidRPr="00B62949" w:rsidRDefault="00B62949" w:rsidP="00B62949">
      <w:pPr>
        <w:pStyle w:val="ListParagraph"/>
        <w:numPr>
          <w:ilvl w:val="0"/>
          <w:numId w:val="4"/>
        </w:numPr>
        <w:jc w:val="both"/>
        <w:rPr>
          <w:rFonts w:ascii="Arial" w:hAnsi="Arial" w:cs="Arial"/>
          <w:sz w:val="24"/>
          <w:szCs w:val="24"/>
        </w:rPr>
      </w:pPr>
      <w:r w:rsidRPr="00B62949">
        <w:rPr>
          <w:rFonts w:ascii="Arial" w:hAnsi="Arial" w:cs="Arial"/>
          <w:sz w:val="24"/>
          <w:szCs w:val="24"/>
        </w:rPr>
        <w:lastRenderedPageBreak/>
        <w:t xml:space="preserve">(4.53) Um experimento clássico liga telômeros de </w:t>
      </w:r>
      <w:proofErr w:type="spellStart"/>
      <w:r w:rsidRPr="00B62949">
        <w:rPr>
          <w:rFonts w:ascii="Arial" w:hAnsi="Arial" w:cs="Arial"/>
          <w:i/>
          <w:sz w:val="24"/>
          <w:szCs w:val="24"/>
        </w:rPr>
        <w:t>Tetrahymena</w:t>
      </w:r>
      <w:proofErr w:type="spellEnd"/>
      <w:r w:rsidRPr="00B62949">
        <w:rPr>
          <w:rFonts w:ascii="Arial" w:hAnsi="Arial" w:cs="Arial"/>
          <w:i/>
          <w:sz w:val="24"/>
          <w:szCs w:val="24"/>
        </w:rPr>
        <w:t xml:space="preserve"> </w:t>
      </w:r>
      <w:r w:rsidRPr="00B62949">
        <w:rPr>
          <w:rFonts w:ascii="Arial" w:hAnsi="Arial" w:cs="Arial"/>
          <w:sz w:val="24"/>
          <w:szCs w:val="24"/>
        </w:rPr>
        <w:t>a plasmídeo de levedura linearizado formando um cromossomo artificial em leveduras</w:t>
      </w:r>
      <w:r>
        <w:rPr>
          <w:rFonts w:ascii="Arial" w:hAnsi="Arial" w:cs="Arial"/>
          <w:sz w:val="24"/>
          <w:szCs w:val="24"/>
        </w:rPr>
        <w:t xml:space="preserve"> (figura 6</w:t>
      </w:r>
      <w:r w:rsidRPr="00B62949">
        <w:rPr>
          <w:rFonts w:ascii="Arial" w:hAnsi="Arial" w:cs="Arial"/>
          <w:sz w:val="24"/>
          <w:szCs w:val="24"/>
        </w:rPr>
        <w:t xml:space="preserve">). Um plasmídeo circular de 9 </w:t>
      </w:r>
      <w:proofErr w:type="spellStart"/>
      <w:r w:rsidRPr="00B62949">
        <w:rPr>
          <w:rFonts w:ascii="Arial" w:hAnsi="Arial" w:cs="Arial"/>
          <w:sz w:val="24"/>
          <w:szCs w:val="24"/>
        </w:rPr>
        <w:t>Kbp</w:t>
      </w:r>
      <w:proofErr w:type="spellEnd"/>
      <w:r w:rsidRPr="00B62949">
        <w:rPr>
          <w:rFonts w:ascii="Arial" w:hAnsi="Arial" w:cs="Arial"/>
          <w:sz w:val="24"/>
          <w:szCs w:val="24"/>
        </w:rPr>
        <w:t xml:space="preserve"> foi construído para conter uma origem de replicação (</w:t>
      </w:r>
      <w:r w:rsidRPr="00B62949">
        <w:rPr>
          <w:rFonts w:ascii="Arial" w:hAnsi="Arial" w:cs="Arial"/>
          <w:i/>
          <w:sz w:val="24"/>
          <w:szCs w:val="24"/>
        </w:rPr>
        <w:t>Ars1</w:t>
      </w:r>
      <w:r w:rsidRPr="00B62949">
        <w:rPr>
          <w:rFonts w:ascii="Arial" w:hAnsi="Arial" w:cs="Arial"/>
          <w:sz w:val="24"/>
          <w:szCs w:val="24"/>
        </w:rPr>
        <w:t xml:space="preserve">) e o gene </w:t>
      </w:r>
      <w:r w:rsidRPr="00B62949">
        <w:rPr>
          <w:rFonts w:ascii="Arial" w:hAnsi="Arial" w:cs="Arial"/>
          <w:i/>
          <w:sz w:val="24"/>
          <w:szCs w:val="24"/>
        </w:rPr>
        <w:t>Leu2</w:t>
      </w:r>
      <w:r w:rsidRPr="00B62949">
        <w:rPr>
          <w:rFonts w:ascii="Arial" w:hAnsi="Arial" w:cs="Arial"/>
          <w:sz w:val="24"/>
          <w:szCs w:val="24"/>
        </w:rPr>
        <w:t xml:space="preserve"> de levedura (na ausência desse gene as células não crescem na ausência de leucina no meio). O plasmídeo foi linearizado com </w:t>
      </w:r>
      <w:proofErr w:type="spellStart"/>
      <w:r w:rsidRPr="00B62949">
        <w:rPr>
          <w:rFonts w:ascii="Arial" w:hAnsi="Arial" w:cs="Arial"/>
          <w:i/>
          <w:sz w:val="24"/>
          <w:szCs w:val="24"/>
        </w:rPr>
        <w:t>Bgl</w:t>
      </w:r>
      <w:r w:rsidRPr="00B62949">
        <w:rPr>
          <w:rFonts w:ascii="Arial" w:hAnsi="Arial" w:cs="Arial"/>
          <w:sz w:val="24"/>
          <w:szCs w:val="24"/>
        </w:rPr>
        <w:t>II</w:t>
      </w:r>
      <w:proofErr w:type="spellEnd"/>
      <w:r w:rsidRPr="00B62949">
        <w:rPr>
          <w:rFonts w:ascii="Arial" w:hAnsi="Arial" w:cs="Arial"/>
          <w:sz w:val="24"/>
          <w:szCs w:val="24"/>
        </w:rPr>
        <w:t xml:space="preserve"> (apenas um sítio) e ligado a fragmentos (gerados com</w:t>
      </w:r>
      <w:r w:rsidRPr="00B62949">
        <w:rPr>
          <w:rFonts w:ascii="Arial" w:hAnsi="Arial" w:cs="Arial"/>
          <w:i/>
          <w:sz w:val="24"/>
          <w:szCs w:val="24"/>
        </w:rPr>
        <w:t xml:space="preserve"> Bam</w:t>
      </w:r>
      <w:r w:rsidRPr="00B62949">
        <w:rPr>
          <w:rFonts w:ascii="Arial" w:hAnsi="Arial" w:cs="Arial"/>
          <w:sz w:val="24"/>
          <w:szCs w:val="24"/>
        </w:rPr>
        <w:t xml:space="preserve">H1) de aproximadamente 1,5 </w:t>
      </w:r>
      <w:proofErr w:type="spellStart"/>
      <w:r w:rsidRPr="00B62949">
        <w:rPr>
          <w:rFonts w:ascii="Arial" w:hAnsi="Arial" w:cs="Arial"/>
          <w:sz w:val="24"/>
          <w:szCs w:val="24"/>
        </w:rPr>
        <w:t>Kbp</w:t>
      </w:r>
      <w:proofErr w:type="spellEnd"/>
      <w:r w:rsidRPr="00B62949">
        <w:rPr>
          <w:rFonts w:ascii="Arial" w:hAnsi="Arial" w:cs="Arial"/>
          <w:sz w:val="24"/>
          <w:szCs w:val="24"/>
        </w:rPr>
        <w:t xml:space="preserve"> contendo telômeros de </w:t>
      </w:r>
      <w:proofErr w:type="spellStart"/>
      <w:r w:rsidRPr="00B62949">
        <w:rPr>
          <w:rFonts w:ascii="Arial" w:hAnsi="Arial" w:cs="Arial"/>
          <w:i/>
          <w:sz w:val="24"/>
          <w:szCs w:val="24"/>
        </w:rPr>
        <w:t>Tetrahymena</w:t>
      </w:r>
      <w:proofErr w:type="spellEnd"/>
      <w:r w:rsidRPr="00B62949">
        <w:rPr>
          <w:rFonts w:ascii="Arial" w:hAnsi="Arial" w:cs="Arial"/>
          <w:sz w:val="24"/>
          <w:szCs w:val="24"/>
        </w:rPr>
        <w:t xml:space="preserve">, e o produto da ligação digerida com </w:t>
      </w:r>
      <w:proofErr w:type="spellStart"/>
      <w:r w:rsidRPr="00B62949">
        <w:rPr>
          <w:rFonts w:ascii="Arial" w:hAnsi="Arial" w:cs="Arial"/>
          <w:i/>
          <w:sz w:val="24"/>
          <w:szCs w:val="24"/>
        </w:rPr>
        <w:t>Bgl</w:t>
      </w:r>
      <w:r w:rsidRPr="00B62949">
        <w:rPr>
          <w:rFonts w:ascii="Arial" w:hAnsi="Arial" w:cs="Arial"/>
          <w:sz w:val="24"/>
          <w:szCs w:val="24"/>
        </w:rPr>
        <w:t>II</w:t>
      </w:r>
      <w:proofErr w:type="spellEnd"/>
      <w:r w:rsidRPr="00B62949">
        <w:rPr>
          <w:rFonts w:ascii="Arial" w:hAnsi="Arial" w:cs="Arial"/>
          <w:i/>
          <w:sz w:val="24"/>
          <w:szCs w:val="24"/>
        </w:rPr>
        <w:t xml:space="preserve"> e Bam</w:t>
      </w:r>
      <w:r w:rsidRPr="00B62949">
        <w:rPr>
          <w:rFonts w:ascii="Arial" w:hAnsi="Arial" w:cs="Arial"/>
          <w:sz w:val="24"/>
          <w:szCs w:val="24"/>
        </w:rPr>
        <w:t xml:space="preserve">H1. Produtos dessa ligação com 12 </w:t>
      </w:r>
      <w:proofErr w:type="spellStart"/>
      <w:r w:rsidRPr="00B62949">
        <w:rPr>
          <w:rFonts w:ascii="Arial" w:hAnsi="Arial" w:cs="Arial"/>
          <w:sz w:val="24"/>
          <w:szCs w:val="24"/>
        </w:rPr>
        <w:t>Kbp</w:t>
      </w:r>
      <w:proofErr w:type="spellEnd"/>
      <w:r w:rsidRPr="00B62949">
        <w:rPr>
          <w:rFonts w:ascii="Arial" w:hAnsi="Arial" w:cs="Arial"/>
          <w:sz w:val="24"/>
          <w:szCs w:val="24"/>
        </w:rPr>
        <w:t xml:space="preserve"> foram purificados em gel e usado para transformar levedura, com meio sem leucina. Amostra de DNA dos transformantes selecionados, foram digeridos com </w:t>
      </w:r>
      <w:proofErr w:type="spellStart"/>
      <w:r w:rsidRPr="00B62949">
        <w:rPr>
          <w:rFonts w:ascii="Arial" w:hAnsi="Arial" w:cs="Arial"/>
          <w:i/>
          <w:sz w:val="24"/>
          <w:szCs w:val="24"/>
        </w:rPr>
        <w:t>Hpa</w:t>
      </w:r>
      <w:r w:rsidRPr="00B62949">
        <w:rPr>
          <w:rFonts w:ascii="Arial" w:hAnsi="Arial" w:cs="Arial"/>
          <w:sz w:val="24"/>
          <w:szCs w:val="24"/>
        </w:rPr>
        <w:t>I</w:t>
      </w:r>
      <w:proofErr w:type="spellEnd"/>
      <w:r w:rsidRPr="00B62949">
        <w:rPr>
          <w:rFonts w:ascii="Arial" w:hAnsi="Arial" w:cs="Arial"/>
          <w:sz w:val="24"/>
          <w:szCs w:val="24"/>
        </w:rPr>
        <w:t xml:space="preserve">, </w:t>
      </w:r>
      <w:proofErr w:type="spellStart"/>
      <w:r w:rsidRPr="00B62949">
        <w:rPr>
          <w:rFonts w:ascii="Arial" w:hAnsi="Arial" w:cs="Arial"/>
          <w:i/>
          <w:sz w:val="24"/>
          <w:szCs w:val="24"/>
        </w:rPr>
        <w:t>Pvu</w:t>
      </w:r>
      <w:r w:rsidRPr="00B62949">
        <w:rPr>
          <w:rFonts w:ascii="Arial" w:hAnsi="Arial" w:cs="Arial"/>
          <w:sz w:val="24"/>
          <w:szCs w:val="24"/>
        </w:rPr>
        <w:t>I</w:t>
      </w:r>
      <w:proofErr w:type="spellEnd"/>
      <w:r w:rsidRPr="00B62949">
        <w:rPr>
          <w:rFonts w:ascii="Arial" w:hAnsi="Arial" w:cs="Arial"/>
          <w:sz w:val="24"/>
          <w:szCs w:val="24"/>
        </w:rPr>
        <w:t xml:space="preserve"> ou </w:t>
      </w:r>
      <w:proofErr w:type="spellStart"/>
      <w:r w:rsidRPr="00B62949">
        <w:rPr>
          <w:rFonts w:ascii="Arial" w:hAnsi="Arial" w:cs="Arial"/>
          <w:i/>
          <w:sz w:val="24"/>
          <w:szCs w:val="24"/>
        </w:rPr>
        <w:t>Pvu</w:t>
      </w:r>
      <w:r w:rsidRPr="00B62949">
        <w:rPr>
          <w:rFonts w:ascii="Arial" w:hAnsi="Arial" w:cs="Arial"/>
          <w:sz w:val="24"/>
          <w:szCs w:val="24"/>
        </w:rPr>
        <w:t>II</w:t>
      </w:r>
      <w:proofErr w:type="spellEnd"/>
      <w:r w:rsidRPr="00B62949">
        <w:rPr>
          <w:rFonts w:ascii="Arial" w:hAnsi="Arial" w:cs="Arial"/>
          <w:sz w:val="24"/>
          <w:szCs w:val="24"/>
        </w:rPr>
        <w:t>, e os fragmentos analisados em eletroforese, visualizados com sondas especí</w:t>
      </w:r>
      <w:r>
        <w:rPr>
          <w:rFonts w:ascii="Arial" w:hAnsi="Arial" w:cs="Arial"/>
          <w:sz w:val="24"/>
          <w:szCs w:val="24"/>
        </w:rPr>
        <w:t>ficas para o plasmídeo (figura 7</w:t>
      </w:r>
      <w:r w:rsidRPr="00B62949">
        <w:rPr>
          <w:rFonts w:ascii="Arial" w:hAnsi="Arial" w:cs="Arial"/>
          <w:sz w:val="24"/>
          <w:szCs w:val="24"/>
        </w:rPr>
        <w:t>).</w:t>
      </w:r>
    </w:p>
    <w:p w14:paraId="2B8767DA" w14:textId="77777777" w:rsidR="00B62949" w:rsidRDefault="00B62949" w:rsidP="00B62949">
      <w:pPr>
        <w:pStyle w:val="ListParagraph"/>
        <w:ind w:left="644"/>
        <w:jc w:val="both"/>
        <w:rPr>
          <w:rFonts w:ascii="Arial" w:hAnsi="Arial" w:cs="Arial"/>
          <w:sz w:val="24"/>
          <w:szCs w:val="24"/>
        </w:rPr>
      </w:pPr>
    </w:p>
    <w:p w14:paraId="397C9D45" w14:textId="2D31775E" w:rsidR="00B62949" w:rsidRDefault="00B62949" w:rsidP="00132A46">
      <w:pPr>
        <w:pStyle w:val="ListParagraph"/>
        <w:ind w:left="644"/>
        <w:jc w:val="both"/>
        <w:rPr>
          <w:rFonts w:ascii="Arial" w:hAnsi="Arial" w:cs="Arial"/>
          <w:sz w:val="24"/>
          <w:szCs w:val="24"/>
        </w:rPr>
      </w:pPr>
      <w:r w:rsidRPr="008F0A3A">
        <w:rPr>
          <w:rFonts w:ascii="Arial" w:hAnsi="Arial" w:cs="Arial"/>
          <w:noProof/>
          <w:sz w:val="24"/>
          <w:szCs w:val="24"/>
          <w:lang w:val="en-US"/>
        </w:rPr>
        <w:drawing>
          <wp:inline distT="0" distB="0" distL="0" distR="0" wp14:anchorId="79049799" wp14:editId="4038B89A">
            <wp:extent cx="5582213" cy="2101083"/>
            <wp:effectExtent l="0" t="0" r="6350" b="7620"/>
            <wp:docPr id="4098" name="Picture 2" descr="D:\Figures\JPEGs\Chapter_04\figure_0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Figures\JPEGs\Chapter_04\figure_04_12.jpg"/>
                    <pic:cNvPicPr>
                      <a:picLocks noChangeAspect="1" noChangeArrowheads="1"/>
                    </pic:cNvPicPr>
                  </pic:nvPicPr>
                  <pic:blipFill>
                    <a:blip r:embed="rId10" cstate="print"/>
                    <a:srcRect/>
                    <a:stretch>
                      <a:fillRect/>
                    </a:stretch>
                  </pic:blipFill>
                  <pic:spPr bwMode="auto">
                    <a:xfrm>
                      <a:off x="0" y="0"/>
                      <a:ext cx="5582611" cy="2101233"/>
                    </a:xfrm>
                    <a:prstGeom prst="rect">
                      <a:avLst/>
                    </a:prstGeom>
                    <a:noFill/>
                  </pic:spPr>
                </pic:pic>
              </a:graphicData>
            </a:graphic>
          </wp:inline>
        </w:drawing>
      </w:r>
    </w:p>
    <w:p w14:paraId="29095021" w14:textId="4C42793A" w:rsidR="00B62949" w:rsidRDefault="00B62949" w:rsidP="00B62949">
      <w:pPr>
        <w:jc w:val="both"/>
        <w:rPr>
          <w:rFonts w:ascii="Arial" w:hAnsi="Arial" w:cs="Arial"/>
          <w:sz w:val="24"/>
          <w:szCs w:val="24"/>
        </w:rPr>
      </w:pPr>
      <w:r>
        <w:rPr>
          <w:rFonts w:ascii="Arial" w:hAnsi="Arial" w:cs="Arial"/>
          <w:sz w:val="24"/>
          <w:szCs w:val="24"/>
        </w:rPr>
        <w:t xml:space="preserve">Figura 6. Estrutura de plasmídeo base para cromossomo artificial. O fragmento </w:t>
      </w:r>
      <w:proofErr w:type="spellStart"/>
      <w:r>
        <w:rPr>
          <w:rFonts w:ascii="Arial" w:hAnsi="Arial" w:cs="Arial"/>
          <w:sz w:val="24"/>
          <w:szCs w:val="24"/>
        </w:rPr>
        <w:t>telomérico</w:t>
      </w:r>
      <w:proofErr w:type="spellEnd"/>
      <w:r>
        <w:rPr>
          <w:rFonts w:ascii="Arial" w:hAnsi="Arial" w:cs="Arial"/>
          <w:sz w:val="24"/>
          <w:szCs w:val="24"/>
        </w:rPr>
        <w:t xml:space="preserve"> está indicado.</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4904"/>
      </w:tblGrid>
      <w:tr w:rsidR="00B62949" w14:paraId="29051A21" w14:textId="77777777" w:rsidTr="00132A46">
        <w:tc>
          <w:tcPr>
            <w:tcW w:w="3848" w:type="dxa"/>
          </w:tcPr>
          <w:p w14:paraId="6553C08D" w14:textId="77777777" w:rsidR="00B62949" w:rsidRDefault="00B62949" w:rsidP="00132A46">
            <w:pPr>
              <w:pStyle w:val="ListParagraph"/>
              <w:ind w:left="0"/>
              <w:jc w:val="both"/>
              <w:rPr>
                <w:rFonts w:ascii="Arial" w:hAnsi="Arial" w:cs="Arial"/>
                <w:sz w:val="24"/>
                <w:szCs w:val="24"/>
              </w:rPr>
            </w:pPr>
            <w:r w:rsidRPr="008F0A3A">
              <w:rPr>
                <w:rFonts w:ascii="Arial" w:hAnsi="Arial" w:cs="Arial"/>
                <w:noProof/>
                <w:sz w:val="24"/>
                <w:szCs w:val="24"/>
                <w:lang w:val="en-US"/>
              </w:rPr>
              <w:drawing>
                <wp:inline distT="0" distB="0" distL="0" distR="0" wp14:anchorId="5B0EB4B3" wp14:editId="5E371F2D">
                  <wp:extent cx="1379267" cy="1619689"/>
                  <wp:effectExtent l="0" t="0" r="0" b="6350"/>
                  <wp:docPr id="3075" name="Picture 3" descr="D:\Figures\JPEGs\Chapter_04\figure_0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Figures\JPEGs\Chapter_04\figure_04_13.jpg"/>
                          <pic:cNvPicPr>
                            <a:picLocks noChangeAspect="1" noChangeArrowheads="1"/>
                          </pic:cNvPicPr>
                        </pic:nvPicPr>
                        <pic:blipFill>
                          <a:blip r:embed="rId11" cstate="print"/>
                          <a:srcRect/>
                          <a:stretch>
                            <a:fillRect/>
                          </a:stretch>
                        </pic:blipFill>
                        <pic:spPr bwMode="auto">
                          <a:xfrm>
                            <a:off x="0" y="0"/>
                            <a:ext cx="1380374" cy="1620989"/>
                          </a:xfrm>
                          <a:prstGeom prst="rect">
                            <a:avLst/>
                          </a:prstGeom>
                          <a:noFill/>
                        </pic:spPr>
                      </pic:pic>
                    </a:graphicData>
                  </a:graphic>
                </wp:inline>
              </w:drawing>
            </w:r>
          </w:p>
        </w:tc>
        <w:tc>
          <w:tcPr>
            <w:tcW w:w="5754" w:type="dxa"/>
          </w:tcPr>
          <w:p w14:paraId="590ED4C3" w14:textId="77777777" w:rsidR="00B62949" w:rsidRPr="00A36B0C" w:rsidRDefault="00B62949" w:rsidP="00132A46">
            <w:pPr>
              <w:pStyle w:val="ListParagraph"/>
              <w:ind w:left="0"/>
              <w:jc w:val="both"/>
              <w:rPr>
                <w:rFonts w:ascii="Arial" w:hAnsi="Arial" w:cs="Arial"/>
                <w:sz w:val="24"/>
                <w:szCs w:val="24"/>
              </w:rPr>
            </w:pPr>
            <w:r>
              <w:rPr>
                <w:rFonts w:ascii="Arial" w:hAnsi="Arial" w:cs="Arial"/>
                <w:sz w:val="24"/>
                <w:szCs w:val="24"/>
              </w:rPr>
              <w:t xml:space="preserve">Figura 7. Autorradiografia para análise da estrutura do plasmídeo. </w:t>
            </w:r>
          </w:p>
        </w:tc>
      </w:tr>
    </w:tbl>
    <w:p w14:paraId="43C81CEF" w14:textId="77777777" w:rsidR="00B62949" w:rsidRDefault="00B62949" w:rsidP="00B62949">
      <w:pPr>
        <w:jc w:val="both"/>
        <w:rPr>
          <w:rFonts w:ascii="Arial" w:hAnsi="Arial" w:cs="Arial"/>
          <w:sz w:val="24"/>
          <w:szCs w:val="24"/>
        </w:rPr>
      </w:pPr>
    </w:p>
    <w:p w14:paraId="6F0AD875" w14:textId="77777777" w:rsidR="00B62949" w:rsidRPr="008C3B1E" w:rsidRDefault="00B62949" w:rsidP="00B62949">
      <w:pPr>
        <w:pStyle w:val="ListParagraph"/>
        <w:numPr>
          <w:ilvl w:val="0"/>
          <w:numId w:val="5"/>
        </w:numPr>
        <w:jc w:val="both"/>
        <w:rPr>
          <w:rFonts w:ascii="Arial" w:hAnsi="Arial" w:cs="Arial"/>
          <w:sz w:val="24"/>
          <w:szCs w:val="24"/>
        </w:rPr>
      </w:pPr>
      <w:r>
        <w:rPr>
          <w:rFonts w:ascii="Arial" w:hAnsi="Arial" w:cs="Arial"/>
          <w:sz w:val="24"/>
          <w:szCs w:val="24"/>
        </w:rPr>
        <w:t>como os resultados da figura 7</w:t>
      </w:r>
      <w:r w:rsidRPr="008C3B1E">
        <w:rPr>
          <w:rFonts w:ascii="Arial" w:hAnsi="Arial" w:cs="Arial"/>
          <w:sz w:val="24"/>
          <w:szCs w:val="24"/>
        </w:rPr>
        <w:t xml:space="preserve"> podem distinguir se o plasmídeo está circular ou linearizado?</w:t>
      </w:r>
    </w:p>
    <w:p w14:paraId="0E1F0654" w14:textId="77777777" w:rsidR="00415D5E" w:rsidRDefault="00B62949" w:rsidP="00B62949">
      <w:pPr>
        <w:pStyle w:val="ListParagraph"/>
        <w:numPr>
          <w:ilvl w:val="0"/>
          <w:numId w:val="5"/>
        </w:numPr>
        <w:jc w:val="both"/>
        <w:rPr>
          <w:rFonts w:ascii="Arial" w:hAnsi="Arial" w:cs="Arial"/>
          <w:sz w:val="24"/>
          <w:szCs w:val="24"/>
        </w:rPr>
      </w:pPr>
      <w:r>
        <w:rPr>
          <w:rFonts w:ascii="Arial" w:hAnsi="Arial" w:cs="Arial"/>
          <w:sz w:val="24"/>
          <w:szCs w:val="24"/>
        </w:rPr>
        <w:t xml:space="preserve">Por que os autores deste trabalho fizeram a digestão da ligação com </w:t>
      </w:r>
      <w:proofErr w:type="spellStart"/>
      <w:r>
        <w:rPr>
          <w:rFonts w:ascii="Arial" w:hAnsi="Arial" w:cs="Arial"/>
          <w:i/>
          <w:sz w:val="24"/>
          <w:szCs w:val="24"/>
        </w:rPr>
        <w:t>Bgl</w:t>
      </w:r>
      <w:r w:rsidRPr="008F0A3A">
        <w:rPr>
          <w:rFonts w:ascii="Arial" w:hAnsi="Arial" w:cs="Arial"/>
          <w:sz w:val="24"/>
          <w:szCs w:val="24"/>
        </w:rPr>
        <w:t>II</w:t>
      </w:r>
      <w:proofErr w:type="spellEnd"/>
      <w:r>
        <w:rPr>
          <w:rFonts w:ascii="Arial" w:hAnsi="Arial" w:cs="Arial"/>
          <w:i/>
          <w:sz w:val="24"/>
          <w:szCs w:val="24"/>
        </w:rPr>
        <w:t xml:space="preserve"> e Bam</w:t>
      </w:r>
      <w:r w:rsidRPr="008F0A3A">
        <w:rPr>
          <w:rFonts w:ascii="Arial" w:hAnsi="Arial" w:cs="Arial"/>
          <w:sz w:val="24"/>
          <w:szCs w:val="24"/>
        </w:rPr>
        <w:t>H1</w:t>
      </w:r>
      <w:r>
        <w:rPr>
          <w:rFonts w:ascii="Arial" w:hAnsi="Arial" w:cs="Arial"/>
          <w:sz w:val="24"/>
          <w:szCs w:val="24"/>
        </w:rPr>
        <w:t xml:space="preserve">, sabendo que os sítios são: </w:t>
      </w:r>
      <w:proofErr w:type="spellStart"/>
      <w:r>
        <w:rPr>
          <w:rFonts w:ascii="Arial" w:hAnsi="Arial" w:cs="Arial"/>
          <w:i/>
          <w:sz w:val="24"/>
          <w:szCs w:val="24"/>
        </w:rPr>
        <w:t>Bgl</w:t>
      </w:r>
      <w:r w:rsidRPr="008F0A3A">
        <w:rPr>
          <w:rFonts w:ascii="Arial" w:hAnsi="Arial" w:cs="Arial"/>
          <w:sz w:val="24"/>
          <w:szCs w:val="24"/>
        </w:rPr>
        <w:t>II</w:t>
      </w:r>
      <w:proofErr w:type="spellEnd"/>
      <w:r>
        <w:rPr>
          <w:rFonts w:ascii="Arial" w:hAnsi="Arial" w:cs="Arial"/>
          <w:i/>
          <w:sz w:val="24"/>
          <w:szCs w:val="24"/>
        </w:rPr>
        <w:t xml:space="preserve"> </w:t>
      </w:r>
      <w:r w:rsidRPr="008C3B1E">
        <w:rPr>
          <w:rFonts w:ascii="Arial" w:hAnsi="Arial" w:cs="Arial"/>
          <w:sz w:val="24"/>
          <w:szCs w:val="24"/>
        </w:rPr>
        <w:t>5’A’GATCT3</w:t>
      </w:r>
      <w:r>
        <w:rPr>
          <w:rFonts w:ascii="Arial" w:hAnsi="Arial" w:cs="Arial"/>
          <w:i/>
          <w:sz w:val="24"/>
          <w:szCs w:val="24"/>
        </w:rPr>
        <w:t xml:space="preserve"> e Bam</w:t>
      </w:r>
      <w:r w:rsidRPr="008F0A3A">
        <w:rPr>
          <w:rFonts w:ascii="Arial" w:hAnsi="Arial" w:cs="Arial"/>
          <w:sz w:val="24"/>
          <w:szCs w:val="24"/>
        </w:rPr>
        <w:t>H1</w:t>
      </w:r>
      <w:r>
        <w:rPr>
          <w:rFonts w:ascii="Arial" w:hAnsi="Arial" w:cs="Arial"/>
          <w:sz w:val="24"/>
          <w:szCs w:val="24"/>
        </w:rPr>
        <w:t xml:space="preserve"> e 5’G’GATCC3’?</w:t>
      </w:r>
    </w:p>
    <w:p w14:paraId="6E8D9DCE" w14:textId="196C5FD6" w:rsidR="00132A46" w:rsidRPr="00BC3D9C" w:rsidRDefault="00132A46" w:rsidP="00BC3D9C">
      <w:pPr>
        <w:pStyle w:val="ListParagraph"/>
        <w:jc w:val="both"/>
        <w:rPr>
          <w:rFonts w:ascii="Arial" w:hAnsi="Arial" w:cs="Arial"/>
          <w:i/>
          <w:sz w:val="24"/>
          <w:szCs w:val="24"/>
        </w:rPr>
      </w:pPr>
      <w:r w:rsidRPr="00EA01F3">
        <w:rPr>
          <w:rFonts w:ascii="Arial" w:hAnsi="Arial" w:cs="Arial"/>
          <w:i/>
          <w:sz w:val="24"/>
          <w:szCs w:val="24"/>
        </w:rPr>
        <w:t>Referência:</w:t>
      </w:r>
      <w:r>
        <w:rPr>
          <w:rFonts w:ascii="Arial" w:hAnsi="Arial" w:cs="Arial"/>
          <w:i/>
          <w:sz w:val="24"/>
          <w:szCs w:val="24"/>
        </w:rPr>
        <w:t xml:space="preserve"> </w:t>
      </w:r>
      <w:r w:rsidRPr="00132A46">
        <w:rPr>
          <w:rFonts w:ascii="Arial" w:hAnsi="Arial" w:cs="Arial"/>
          <w:i/>
          <w:sz w:val="24"/>
          <w:szCs w:val="24"/>
        </w:rPr>
        <w:t xml:space="preserve">Esses exercícios foram traduzidos do livro Molecular </w:t>
      </w:r>
      <w:proofErr w:type="spellStart"/>
      <w:r w:rsidRPr="00132A46">
        <w:rPr>
          <w:rFonts w:ascii="Arial" w:hAnsi="Arial" w:cs="Arial"/>
          <w:i/>
          <w:sz w:val="24"/>
          <w:szCs w:val="24"/>
        </w:rPr>
        <w:t>Biology</w:t>
      </w:r>
      <w:proofErr w:type="spellEnd"/>
      <w:r w:rsidRPr="00132A46">
        <w:rPr>
          <w:rFonts w:ascii="Arial" w:hAnsi="Arial" w:cs="Arial"/>
          <w:i/>
          <w:sz w:val="24"/>
          <w:szCs w:val="24"/>
        </w:rPr>
        <w:t xml:space="preserve"> </w:t>
      </w:r>
      <w:proofErr w:type="spellStart"/>
      <w:r w:rsidRPr="00132A46">
        <w:rPr>
          <w:rFonts w:ascii="Arial" w:hAnsi="Arial" w:cs="Arial"/>
          <w:i/>
          <w:sz w:val="24"/>
          <w:szCs w:val="24"/>
        </w:rPr>
        <w:t>of</w:t>
      </w:r>
      <w:proofErr w:type="spellEnd"/>
      <w:r w:rsidRPr="00132A46">
        <w:rPr>
          <w:rFonts w:ascii="Arial" w:hAnsi="Arial" w:cs="Arial"/>
          <w:i/>
          <w:sz w:val="24"/>
          <w:szCs w:val="24"/>
        </w:rPr>
        <w:t xml:space="preserve"> </w:t>
      </w:r>
      <w:proofErr w:type="spellStart"/>
      <w:r w:rsidRPr="00132A46">
        <w:rPr>
          <w:rFonts w:ascii="Arial" w:hAnsi="Arial" w:cs="Arial"/>
          <w:i/>
          <w:sz w:val="24"/>
          <w:szCs w:val="24"/>
        </w:rPr>
        <w:t>the</w:t>
      </w:r>
      <w:proofErr w:type="spellEnd"/>
      <w:r w:rsidRPr="00132A46">
        <w:rPr>
          <w:rFonts w:ascii="Arial" w:hAnsi="Arial" w:cs="Arial"/>
          <w:i/>
          <w:sz w:val="24"/>
          <w:szCs w:val="24"/>
        </w:rPr>
        <w:t xml:space="preserve"> </w:t>
      </w:r>
      <w:proofErr w:type="spellStart"/>
      <w:r w:rsidRPr="00132A46">
        <w:rPr>
          <w:rFonts w:ascii="Arial" w:hAnsi="Arial" w:cs="Arial"/>
          <w:i/>
          <w:sz w:val="24"/>
          <w:szCs w:val="24"/>
        </w:rPr>
        <w:t>Cell</w:t>
      </w:r>
      <w:proofErr w:type="spellEnd"/>
      <w:r w:rsidRPr="00132A46">
        <w:rPr>
          <w:rFonts w:ascii="Arial" w:hAnsi="Arial" w:cs="Arial"/>
          <w:i/>
          <w:sz w:val="24"/>
          <w:szCs w:val="24"/>
        </w:rPr>
        <w:t xml:space="preserve">: The </w:t>
      </w:r>
      <w:proofErr w:type="spellStart"/>
      <w:r w:rsidRPr="00132A46">
        <w:rPr>
          <w:rFonts w:ascii="Arial" w:hAnsi="Arial" w:cs="Arial"/>
          <w:i/>
          <w:sz w:val="24"/>
          <w:szCs w:val="24"/>
        </w:rPr>
        <w:t>Problems</w:t>
      </w:r>
      <w:proofErr w:type="spellEnd"/>
      <w:r w:rsidRPr="00132A46">
        <w:rPr>
          <w:rFonts w:ascii="Arial" w:hAnsi="Arial" w:cs="Arial"/>
          <w:i/>
          <w:sz w:val="24"/>
          <w:szCs w:val="24"/>
        </w:rPr>
        <w:t xml:space="preserve"> Book, 5</w:t>
      </w:r>
      <w:r w:rsidRPr="00132A46">
        <w:rPr>
          <w:rFonts w:ascii="Arial" w:hAnsi="Arial" w:cs="Arial"/>
          <w:i/>
          <w:sz w:val="24"/>
          <w:szCs w:val="24"/>
          <w:vertAlign w:val="superscript"/>
        </w:rPr>
        <w:t>a</w:t>
      </w:r>
      <w:r w:rsidRPr="00132A46">
        <w:rPr>
          <w:rFonts w:ascii="Arial" w:hAnsi="Arial" w:cs="Arial"/>
          <w:i/>
          <w:sz w:val="24"/>
          <w:szCs w:val="24"/>
        </w:rPr>
        <w:t xml:space="preserve"> edição (2008). Por John Wilson e Tim Hunt,</w:t>
      </w:r>
      <w:r>
        <w:rPr>
          <w:rFonts w:ascii="Arial" w:hAnsi="Arial" w:cs="Arial"/>
          <w:i/>
          <w:sz w:val="24"/>
          <w:szCs w:val="24"/>
        </w:rPr>
        <w:t xml:space="preserve"> Garland </w:t>
      </w:r>
      <w:proofErr w:type="spellStart"/>
      <w:r>
        <w:rPr>
          <w:rFonts w:ascii="Arial" w:hAnsi="Arial" w:cs="Arial"/>
          <w:i/>
          <w:sz w:val="24"/>
          <w:szCs w:val="24"/>
        </w:rPr>
        <w:t>Edition</w:t>
      </w:r>
      <w:proofErr w:type="spellEnd"/>
      <w:r>
        <w:rPr>
          <w:rFonts w:ascii="Arial" w:hAnsi="Arial" w:cs="Arial"/>
          <w:i/>
          <w:sz w:val="24"/>
          <w:szCs w:val="24"/>
        </w:rPr>
        <w:t xml:space="preserve"> </w:t>
      </w:r>
    </w:p>
    <w:sectPr w:rsidR="00132A46" w:rsidRPr="00BC3D9C" w:rsidSect="00B62949">
      <w:pgSz w:w="11900" w:h="16840"/>
      <w:pgMar w:top="1304" w:right="1134" w:bottom="1304"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872"/>
    <w:multiLevelType w:val="hybridMultilevel"/>
    <w:tmpl w:val="CBA065E8"/>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C934A9"/>
    <w:multiLevelType w:val="hybridMultilevel"/>
    <w:tmpl w:val="7B388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37B6"/>
    <w:multiLevelType w:val="hybridMultilevel"/>
    <w:tmpl w:val="0ACE003C"/>
    <w:lvl w:ilvl="0" w:tplc="55FC3F9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47768C6"/>
    <w:multiLevelType w:val="hybridMultilevel"/>
    <w:tmpl w:val="9476EECE"/>
    <w:lvl w:ilvl="0" w:tplc="1B8C4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CC4ED0"/>
    <w:multiLevelType w:val="hybridMultilevel"/>
    <w:tmpl w:val="53DC9A7A"/>
    <w:lvl w:ilvl="0" w:tplc="5E2AF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C63"/>
    <w:rsid w:val="00063F53"/>
    <w:rsid w:val="00132A46"/>
    <w:rsid w:val="00415D5E"/>
    <w:rsid w:val="005E55BC"/>
    <w:rsid w:val="006A573D"/>
    <w:rsid w:val="006A79A1"/>
    <w:rsid w:val="00AE11AA"/>
    <w:rsid w:val="00B62949"/>
    <w:rsid w:val="00BC3D9C"/>
    <w:rsid w:val="00D8686C"/>
    <w:rsid w:val="00DA6A99"/>
    <w:rsid w:val="00EF38B1"/>
    <w:rsid w:val="00F73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FB24C"/>
  <w14:defaultImageDpi w14:val="300"/>
  <w15:docId w15:val="{1023AE0B-7DA1-3844-A625-6918E0E7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63"/>
    <w:pPr>
      <w:spacing w:after="200" w:line="276" w:lineRule="auto"/>
    </w:pPr>
    <w:rPr>
      <w:rFonts w:eastAsiaTheme="minorHAnsi"/>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63"/>
    <w:pPr>
      <w:ind w:left="720"/>
      <w:contextualSpacing/>
    </w:pPr>
  </w:style>
  <w:style w:type="table" w:styleId="TableGrid">
    <w:name w:val="Table Grid"/>
    <w:basedOn w:val="TableNormal"/>
    <w:uiPriority w:val="59"/>
    <w:rsid w:val="00F73C63"/>
    <w:rPr>
      <w:rFonts w:eastAsiaTheme="minorHAns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C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C63"/>
    <w:rPr>
      <w:rFonts w:ascii="Lucida Grande" w:eastAsiaTheme="minorHAnsi" w:hAnsi="Lucida Grande"/>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1151</Words>
  <Characters>6562</Characters>
  <Application>Microsoft Office Word</Application>
  <DocSecurity>0</DocSecurity>
  <Lines>54</Lines>
  <Paragraphs>15</Paragraphs>
  <ScaleCrop>false</ScaleCrop>
  <Company>DNA REPAIR LAB</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Menck</dc:creator>
  <cp:keywords/>
  <dc:description/>
  <cp:lastModifiedBy>Carlos F M Menck</cp:lastModifiedBy>
  <cp:revision>8</cp:revision>
  <dcterms:created xsi:type="dcterms:W3CDTF">2020-03-06T14:56:00Z</dcterms:created>
  <dcterms:modified xsi:type="dcterms:W3CDTF">2022-03-23T12:34:00Z</dcterms:modified>
</cp:coreProperties>
</file>