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F11" w14:textId="118FCD48" w:rsidR="000439C6" w:rsidRPr="000439C6" w:rsidRDefault="000439C6" w:rsidP="00BE41F9">
      <w:pPr>
        <w:jc w:val="both"/>
        <w:rPr>
          <w:b/>
          <w:bCs/>
          <w:sz w:val="24"/>
          <w:szCs w:val="24"/>
        </w:rPr>
      </w:pPr>
      <w:r w:rsidRPr="000439C6">
        <w:rPr>
          <w:b/>
          <w:bCs/>
          <w:sz w:val="24"/>
          <w:szCs w:val="24"/>
        </w:rPr>
        <w:t>NOME:</w:t>
      </w:r>
      <w:r>
        <w:rPr>
          <w:b/>
          <w:bCs/>
          <w:sz w:val="24"/>
          <w:szCs w:val="24"/>
        </w:rPr>
        <w:t xml:space="preserve"> ...</w:t>
      </w:r>
    </w:p>
    <w:p w14:paraId="0CED4A9C" w14:textId="7347F85B" w:rsidR="000439C6" w:rsidRPr="000439C6" w:rsidRDefault="000439C6" w:rsidP="00BE41F9">
      <w:pPr>
        <w:jc w:val="both"/>
        <w:rPr>
          <w:b/>
          <w:bCs/>
          <w:sz w:val="24"/>
          <w:szCs w:val="24"/>
        </w:rPr>
      </w:pPr>
      <w:r w:rsidRPr="000439C6">
        <w:rPr>
          <w:b/>
          <w:bCs/>
          <w:sz w:val="24"/>
          <w:szCs w:val="24"/>
        </w:rPr>
        <w:t>Nº USP:</w:t>
      </w:r>
      <w:r>
        <w:rPr>
          <w:b/>
          <w:bCs/>
          <w:sz w:val="24"/>
          <w:szCs w:val="24"/>
        </w:rPr>
        <w:t xml:space="preserve"> ...</w:t>
      </w:r>
    </w:p>
    <w:p w14:paraId="5A3DB401" w14:textId="21C174F2" w:rsidR="000439C6" w:rsidRPr="000439C6" w:rsidRDefault="000439C6" w:rsidP="00BE41F9">
      <w:pPr>
        <w:jc w:val="both"/>
        <w:rPr>
          <w:b/>
          <w:bCs/>
          <w:sz w:val="24"/>
          <w:szCs w:val="24"/>
        </w:rPr>
      </w:pPr>
      <w:r w:rsidRPr="000439C6">
        <w:rPr>
          <w:b/>
          <w:bCs/>
          <w:sz w:val="24"/>
          <w:szCs w:val="24"/>
        </w:rPr>
        <w:t>E-MAIL:</w:t>
      </w:r>
      <w:r>
        <w:rPr>
          <w:b/>
          <w:bCs/>
          <w:sz w:val="24"/>
          <w:szCs w:val="24"/>
        </w:rPr>
        <w:t xml:space="preserve"> ...</w:t>
      </w:r>
    </w:p>
    <w:p w14:paraId="2F1C2804" w14:textId="77777777" w:rsidR="000439C6" w:rsidRDefault="000439C6" w:rsidP="00BE41F9">
      <w:pPr>
        <w:jc w:val="both"/>
        <w:rPr>
          <w:b/>
          <w:bCs/>
          <w:sz w:val="24"/>
          <w:szCs w:val="24"/>
          <w:u w:val="single"/>
        </w:rPr>
      </w:pPr>
    </w:p>
    <w:p w14:paraId="0A0CBC50" w14:textId="11BFAF7F" w:rsidR="000439C6" w:rsidRDefault="000439C6" w:rsidP="00BE41F9">
      <w:pPr>
        <w:jc w:val="both"/>
        <w:rPr>
          <w:b/>
          <w:bCs/>
          <w:sz w:val="24"/>
          <w:szCs w:val="24"/>
          <w:u w:val="single"/>
        </w:rPr>
      </w:pPr>
    </w:p>
    <w:p w14:paraId="01BC45B3" w14:textId="2ECA9E19" w:rsidR="000439C6" w:rsidRDefault="000439C6" w:rsidP="00BE41F9">
      <w:pPr>
        <w:jc w:val="both"/>
        <w:rPr>
          <w:b/>
          <w:bCs/>
          <w:sz w:val="24"/>
          <w:szCs w:val="24"/>
          <w:u w:val="single"/>
        </w:rPr>
      </w:pPr>
    </w:p>
    <w:p w14:paraId="13B63D19" w14:textId="6637E9AF" w:rsidR="00BE41F9" w:rsidRPr="000439C6" w:rsidRDefault="00BE41F9" w:rsidP="00BE41F9">
      <w:pPr>
        <w:jc w:val="both"/>
        <w:rPr>
          <w:b/>
          <w:bCs/>
          <w:sz w:val="24"/>
          <w:szCs w:val="24"/>
          <w:u w:val="single"/>
        </w:rPr>
      </w:pPr>
      <w:r w:rsidRPr="000439C6">
        <w:rPr>
          <w:b/>
          <w:bCs/>
          <w:sz w:val="24"/>
          <w:szCs w:val="24"/>
          <w:u w:val="single"/>
        </w:rPr>
        <w:t>QUESTÃO 1</w:t>
      </w:r>
    </w:p>
    <w:p w14:paraId="5152AD51" w14:textId="77777777" w:rsidR="00BE41F9" w:rsidRPr="000439C6" w:rsidRDefault="00BE41F9" w:rsidP="00BE41F9">
      <w:pPr>
        <w:jc w:val="both"/>
        <w:rPr>
          <w:sz w:val="24"/>
          <w:szCs w:val="24"/>
        </w:rPr>
      </w:pPr>
      <w:r w:rsidRPr="000439C6">
        <w:rPr>
          <w:sz w:val="24"/>
          <w:szCs w:val="24"/>
        </w:rPr>
        <w:t xml:space="preserve">“A” celebrou contrato </w:t>
      </w:r>
      <w:proofErr w:type="spellStart"/>
      <w:r w:rsidRPr="000439C6">
        <w:rPr>
          <w:sz w:val="24"/>
          <w:szCs w:val="24"/>
        </w:rPr>
        <w:t>estimatório</w:t>
      </w:r>
      <w:proofErr w:type="spellEnd"/>
      <w:r w:rsidRPr="000439C6">
        <w:rPr>
          <w:sz w:val="24"/>
          <w:szCs w:val="24"/>
        </w:rPr>
        <w:t xml:space="preserve"> (venda em consignação) com “B”, no âmbito do qual “A” (consignante) entregou um veículo, de sua propriedade, a “B” (consignatário), que ficou autorizado a vendê-lo, pagando a “A” o preço de R$ 50.000,00 (cinquenta mil reais), no prazo de 1 (um) mês, podendo restituí-lo a “A”, caso assim preferisse, naquele prazo. Transcorrido o aludido prazo contratual, sem que “B” vendesse ou restituísse o bem, “A” alienou o veículo a “C”, uma vez que necessitava de dinheiro. Nesse quadro, “C”, na qualidade de adquirente do bem, ajuizou demanda, sob o procedimento comum, em face de “B”, com vistas a que esse último lhe entregasse o veículo. Em contestação, “B” alegou, preliminarmente, </w:t>
      </w:r>
      <w:r w:rsidRPr="00CD6481">
        <w:rPr>
          <w:b/>
          <w:bCs/>
          <w:sz w:val="24"/>
          <w:szCs w:val="24"/>
        </w:rPr>
        <w:t>(i)</w:t>
      </w:r>
      <w:r w:rsidRPr="000439C6">
        <w:rPr>
          <w:sz w:val="24"/>
          <w:szCs w:val="24"/>
        </w:rPr>
        <w:t xml:space="preserve"> ausência de legitimidade de “C”; </w:t>
      </w:r>
      <w:r w:rsidRPr="00CD6481">
        <w:rPr>
          <w:b/>
          <w:bCs/>
          <w:sz w:val="24"/>
          <w:szCs w:val="24"/>
        </w:rPr>
        <w:t>(</w:t>
      </w:r>
      <w:proofErr w:type="spellStart"/>
      <w:r w:rsidRPr="00CD6481">
        <w:rPr>
          <w:b/>
          <w:bCs/>
          <w:sz w:val="24"/>
          <w:szCs w:val="24"/>
        </w:rPr>
        <w:t>ii</w:t>
      </w:r>
      <w:proofErr w:type="spellEnd"/>
      <w:r w:rsidRPr="00CD6481">
        <w:rPr>
          <w:b/>
          <w:bCs/>
          <w:sz w:val="24"/>
          <w:szCs w:val="24"/>
        </w:rPr>
        <w:t>)</w:t>
      </w:r>
      <w:r w:rsidRPr="000439C6">
        <w:rPr>
          <w:sz w:val="24"/>
          <w:szCs w:val="24"/>
        </w:rPr>
        <w:t xml:space="preserve"> ausência de interesse processual; </w:t>
      </w:r>
      <w:r w:rsidRPr="00CD6481">
        <w:rPr>
          <w:b/>
          <w:bCs/>
          <w:sz w:val="24"/>
          <w:szCs w:val="24"/>
        </w:rPr>
        <w:t>(</w:t>
      </w:r>
      <w:proofErr w:type="spellStart"/>
      <w:r w:rsidRPr="00CD6481">
        <w:rPr>
          <w:b/>
          <w:bCs/>
          <w:sz w:val="24"/>
          <w:szCs w:val="24"/>
        </w:rPr>
        <w:t>iii</w:t>
      </w:r>
      <w:proofErr w:type="spellEnd"/>
      <w:r w:rsidRPr="00CD6481">
        <w:rPr>
          <w:b/>
          <w:bCs/>
          <w:sz w:val="24"/>
          <w:szCs w:val="24"/>
        </w:rPr>
        <w:t>)</w:t>
      </w:r>
      <w:r w:rsidRPr="000439C6">
        <w:rPr>
          <w:sz w:val="24"/>
          <w:szCs w:val="24"/>
        </w:rPr>
        <w:t xml:space="preserve"> a existência de litisconsórcio necessário ativo com “A”; </w:t>
      </w:r>
      <w:r w:rsidRPr="00CD6481">
        <w:rPr>
          <w:b/>
          <w:bCs/>
          <w:sz w:val="24"/>
          <w:szCs w:val="24"/>
        </w:rPr>
        <w:t>(</w:t>
      </w:r>
      <w:proofErr w:type="spellStart"/>
      <w:r w:rsidRPr="00CD6481">
        <w:rPr>
          <w:b/>
          <w:bCs/>
          <w:sz w:val="24"/>
          <w:szCs w:val="24"/>
        </w:rPr>
        <w:t>iv</w:t>
      </w:r>
      <w:proofErr w:type="spellEnd"/>
      <w:r w:rsidRPr="00CD6481">
        <w:rPr>
          <w:b/>
          <w:bCs/>
          <w:sz w:val="24"/>
          <w:szCs w:val="24"/>
        </w:rPr>
        <w:t>)</w:t>
      </w:r>
      <w:r w:rsidRPr="000439C6">
        <w:rPr>
          <w:sz w:val="24"/>
          <w:szCs w:val="24"/>
        </w:rPr>
        <w:t xml:space="preserve"> impossibilidade jurídica do pedido; e, no mérito, </w:t>
      </w:r>
      <w:r w:rsidRPr="00CD6481">
        <w:rPr>
          <w:b/>
          <w:bCs/>
          <w:sz w:val="24"/>
          <w:szCs w:val="24"/>
        </w:rPr>
        <w:t>(v)</w:t>
      </w:r>
      <w:r w:rsidRPr="000439C6">
        <w:rPr>
          <w:sz w:val="24"/>
          <w:szCs w:val="24"/>
        </w:rPr>
        <w:t xml:space="preserve"> a improcedência da pretensão (obrigação de entregar o veículo), sob a argumentação jurídica de que, nos termos do artigo 537 do Código Civil, “A” não poderia dispor da coisa antes de lhe ser restituída ou, ao menos, de lhe ser comunicada a restituição.</w:t>
      </w:r>
    </w:p>
    <w:p w14:paraId="6BCFCFF8" w14:textId="77777777" w:rsidR="00BE41F9" w:rsidRPr="000439C6" w:rsidRDefault="00BE41F9" w:rsidP="00BE41F9">
      <w:pPr>
        <w:jc w:val="both"/>
        <w:rPr>
          <w:sz w:val="24"/>
          <w:szCs w:val="24"/>
        </w:rPr>
      </w:pPr>
    </w:p>
    <w:p w14:paraId="1E6A4B3E" w14:textId="0AF1C138" w:rsidR="00BE41F9" w:rsidRPr="000439C6" w:rsidRDefault="00BE41F9" w:rsidP="00BE41F9">
      <w:pPr>
        <w:jc w:val="both"/>
        <w:rPr>
          <w:sz w:val="24"/>
          <w:szCs w:val="24"/>
        </w:rPr>
      </w:pPr>
      <w:r w:rsidRPr="000439C6">
        <w:rPr>
          <w:sz w:val="24"/>
          <w:szCs w:val="24"/>
        </w:rPr>
        <w:t xml:space="preserve">Nesse contexto, considerando que não pende controvérsia em relação às alegações fáticas, analise cada uma das alegações de “B” e, em sendo possível o respectivo acolhimento, indique a consequência jurídica processual, de forma individualizada e fundamentada </w:t>
      </w:r>
      <w:r w:rsidRPr="000439C6">
        <w:rPr>
          <w:b/>
          <w:bCs/>
          <w:sz w:val="24"/>
          <w:szCs w:val="24"/>
        </w:rPr>
        <w:t>(5,0).</w:t>
      </w:r>
    </w:p>
    <w:p w14:paraId="6ED53D99" w14:textId="11E7DC09" w:rsidR="00BE41F9" w:rsidRPr="000439C6" w:rsidRDefault="00BE41F9" w:rsidP="00BE41F9">
      <w:pPr>
        <w:jc w:val="both"/>
        <w:rPr>
          <w:b/>
          <w:bCs/>
          <w:sz w:val="24"/>
          <w:szCs w:val="24"/>
        </w:rPr>
      </w:pPr>
      <w:r w:rsidRPr="000439C6">
        <w:rPr>
          <w:b/>
          <w:bCs/>
          <w:sz w:val="24"/>
          <w:szCs w:val="24"/>
        </w:rPr>
        <w:t xml:space="preserve">Resposta: ... </w:t>
      </w:r>
    </w:p>
    <w:p w14:paraId="35771326" w14:textId="34267438" w:rsidR="00BE41F9" w:rsidRPr="000439C6" w:rsidRDefault="00BE41F9" w:rsidP="00BE41F9">
      <w:pPr>
        <w:jc w:val="both"/>
        <w:rPr>
          <w:sz w:val="24"/>
          <w:szCs w:val="24"/>
        </w:rPr>
      </w:pPr>
    </w:p>
    <w:p w14:paraId="424552E6" w14:textId="788A1120" w:rsidR="00BE41F9" w:rsidRPr="000439C6" w:rsidRDefault="00BE41F9" w:rsidP="00BE41F9">
      <w:pPr>
        <w:jc w:val="both"/>
        <w:rPr>
          <w:sz w:val="24"/>
          <w:szCs w:val="24"/>
        </w:rPr>
      </w:pPr>
    </w:p>
    <w:p w14:paraId="05A8F9A4" w14:textId="632ACF00" w:rsidR="00BE41F9" w:rsidRPr="000439C6" w:rsidRDefault="00BE41F9" w:rsidP="00BE41F9">
      <w:pPr>
        <w:jc w:val="both"/>
        <w:rPr>
          <w:sz w:val="24"/>
          <w:szCs w:val="24"/>
        </w:rPr>
      </w:pPr>
    </w:p>
    <w:p w14:paraId="7C5413BB" w14:textId="15B02F53" w:rsidR="00BE41F9" w:rsidRDefault="00BE41F9" w:rsidP="00BE41F9">
      <w:pPr>
        <w:jc w:val="both"/>
        <w:rPr>
          <w:sz w:val="24"/>
          <w:szCs w:val="24"/>
        </w:rPr>
      </w:pPr>
    </w:p>
    <w:p w14:paraId="23143A9A" w14:textId="5A18E94E" w:rsidR="000439C6" w:rsidRDefault="000439C6" w:rsidP="00BE41F9">
      <w:pPr>
        <w:jc w:val="both"/>
        <w:rPr>
          <w:sz w:val="24"/>
          <w:szCs w:val="24"/>
        </w:rPr>
      </w:pPr>
    </w:p>
    <w:p w14:paraId="08BB3A7E" w14:textId="77777777" w:rsidR="000439C6" w:rsidRPr="000439C6" w:rsidRDefault="000439C6" w:rsidP="00BE41F9">
      <w:pPr>
        <w:jc w:val="both"/>
        <w:rPr>
          <w:sz w:val="24"/>
          <w:szCs w:val="24"/>
        </w:rPr>
      </w:pPr>
    </w:p>
    <w:p w14:paraId="6A046AC5" w14:textId="46810632" w:rsidR="00BE41F9" w:rsidRPr="000439C6" w:rsidRDefault="00BE41F9" w:rsidP="00BE41F9">
      <w:pPr>
        <w:jc w:val="both"/>
        <w:rPr>
          <w:sz w:val="24"/>
          <w:szCs w:val="24"/>
        </w:rPr>
      </w:pPr>
    </w:p>
    <w:p w14:paraId="5ED784F4" w14:textId="0D1467D9" w:rsidR="00BE41F9" w:rsidRPr="000439C6" w:rsidRDefault="00BE41F9" w:rsidP="00BE41F9">
      <w:pPr>
        <w:jc w:val="both"/>
        <w:rPr>
          <w:sz w:val="24"/>
          <w:szCs w:val="24"/>
        </w:rPr>
      </w:pPr>
    </w:p>
    <w:p w14:paraId="3E7DC126" w14:textId="77777777" w:rsidR="00BE41F9" w:rsidRPr="000439C6" w:rsidRDefault="00BE41F9" w:rsidP="00BE41F9">
      <w:pPr>
        <w:jc w:val="both"/>
        <w:rPr>
          <w:b/>
          <w:bCs/>
          <w:sz w:val="24"/>
          <w:szCs w:val="24"/>
          <w:u w:val="single"/>
        </w:rPr>
      </w:pPr>
      <w:r w:rsidRPr="000439C6">
        <w:rPr>
          <w:b/>
          <w:bCs/>
          <w:sz w:val="24"/>
          <w:szCs w:val="24"/>
          <w:u w:val="single"/>
        </w:rPr>
        <w:lastRenderedPageBreak/>
        <w:t>QUESTÃO 2</w:t>
      </w:r>
    </w:p>
    <w:p w14:paraId="7967ADF6" w14:textId="329D0591" w:rsidR="00BE41F9" w:rsidRPr="000439C6" w:rsidRDefault="00BE41F9" w:rsidP="00BE41F9">
      <w:pPr>
        <w:jc w:val="both"/>
        <w:rPr>
          <w:sz w:val="24"/>
          <w:szCs w:val="24"/>
        </w:rPr>
      </w:pPr>
      <w:r w:rsidRPr="000439C6">
        <w:rPr>
          <w:sz w:val="24"/>
          <w:szCs w:val="24"/>
        </w:rPr>
        <w:t xml:space="preserve">O Município “M” ajuíza demanda, sob o procedimento comum, em face do ex-Prefeito “P”, com vistas a reparação a alegado </w:t>
      </w:r>
      <w:proofErr w:type="spellStart"/>
      <w:r w:rsidRPr="000439C6">
        <w:rPr>
          <w:sz w:val="24"/>
          <w:szCs w:val="24"/>
        </w:rPr>
        <w:t>dano</w:t>
      </w:r>
      <w:proofErr w:type="spellEnd"/>
      <w:r w:rsidRPr="000439C6">
        <w:rPr>
          <w:sz w:val="24"/>
          <w:szCs w:val="24"/>
        </w:rPr>
        <w:t xml:space="preserve"> ao erário municipal, no montante de R$ 10.000,00 (dez mil reais). O Município requereu, incidentalmente, a concessão de tutela provisória de urgência, para se decretar a indisponibilidade de bens de “P”, naquele valor, diante de comprovada dilapidação patrimonial que estava sendo promovida pelo ex-Prefeito. Deferida integralmente a tutela provisória, com consequente constrição do valor total em uma aplicação financeira milionária do requerido, “P” não interpôs recurso, nem apresentou contestação.</w:t>
      </w:r>
    </w:p>
    <w:p w14:paraId="1989AA6F" w14:textId="77777777" w:rsidR="00BE41F9" w:rsidRPr="000439C6" w:rsidRDefault="00BE41F9" w:rsidP="00BE41F9">
      <w:pPr>
        <w:jc w:val="both"/>
        <w:rPr>
          <w:sz w:val="24"/>
          <w:szCs w:val="24"/>
        </w:rPr>
      </w:pPr>
    </w:p>
    <w:p w14:paraId="515C25BC" w14:textId="77777777" w:rsidR="00BE41F9" w:rsidRPr="000439C6" w:rsidRDefault="00BE41F9" w:rsidP="00BE41F9">
      <w:pPr>
        <w:jc w:val="both"/>
        <w:rPr>
          <w:sz w:val="24"/>
          <w:szCs w:val="24"/>
        </w:rPr>
      </w:pPr>
      <w:r w:rsidRPr="000439C6">
        <w:rPr>
          <w:sz w:val="24"/>
          <w:szCs w:val="24"/>
        </w:rPr>
        <w:t>Nesse contexto, considerando que não pende controvérsia em relação às alegações fáticas, responda, fundamentadamente:</w:t>
      </w:r>
    </w:p>
    <w:p w14:paraId="57208D17" w14:textId="77777777" w:rsidR="00BE41F9" w:rsidRPr="000439C6" w:rsidRDefault="00BE41F9" w:rsidP="00BE41F9">
      <w:pPr>
        <w:jc w:val="both"/>
        <w:rPr>
          <w:sz w:val="24"/>
          <w:szCs w:val="24"/>
        </w:rPr>
      </w:pPr>
    </w:p>
    <w:p w14:paraId="16D1857F" w14:textId="413A6BCF" w:rsidR="00BE41F9" w:rsidRPr="000439C6" w:rsidRDefault="00BE41F9" w:rsidP="00BE41F9">
      <w:pPr>
        <w:jc w:val="both"/>
        <w:rPr>
          <w:sz w:val="24"/>
          <w:szCs w:val="24"/>
        </w:rPr>
      </w:pPr>
      <w:r w:rsidRPr="000439C6">
        <w:rPr>
          <w:sz w:val="24"/>
          <w:szCs w:val="24"/>
        </w:rPr>
        <w:t xml:space="preserve">a) Seria possível a estabilização da referida tutela provisória, com consequente extinção processual, em especial, considerando que todos os sujeitos processuais devem cooperar entre si para que se obtenha, em tempo razoável, decisão de mérito justa e efetiva (CPC, art. 6°)? </w:t>
      </w:r>
      <w:r w:rsidRPr="000439C6">
        <w:rPr>
          <w:b/>
          <w:bCs/>
          <w:sz w:val="24"/>
          <w:szCs w:val="24"/>
        </w:rPr>
        <w:t>(1,0)</w:t>
      </w:r>
    </w:p>
    <w:p w14:paraId="1C569814" w14:textId="77777777" w:rsidR="00BE41F9" w:rsidRPr="000439C6" w:rsidRDefault="00BE41F9" w:rsidP="00BE41F9">
      <w:pPr>
        <w:jc w:val="both"/>
        <w:rPr>
          <w:b/>
          <w:bCs/>
          <w:sz w:val="24"/>
          <w:szCs w:val="24"/>
        </w:rPr>
      </w:pPr>
      <w:r w:rsidRPr="000439C6">
        <w:rPr>
          <w:b/>
          <w:bCs/>
          <w:sz w:val="24"/>
          <w:szCs w:val="24"/>
        </w:rPr>
        <w:t xml:space="preserve">Resposta: ... </w:t>
      </w:r>
    </w:p>
    <w:p w14:paraId="7946ABAD" w14:textId="77777777" w:rsidR="00BE41F9" w:rsidRPr="000439C6" w:rsidRDefault="00BE41F9" w:rsidP="00BE41F9">
      <w:pPr>
        <w:jc w:val="both"/>
        <w:rPr>
          <w:sz w:val="24"/>
          <w:szCs w:val="24"/>
        </w:rPr>
      </w:pPr>
    </w:p>
    <w:p w14:paraId="7EFB2051" w14:textId="77777777" w:rsidR="00BE41F9" w:rsidRPr="000439C6" w:rsidRDefault="00BE41F9" w:rsidP="00BE41F9">
      <w:pPr>
        <w:jc w:val="both"/>
        <w:rPr>
          <w:sz w:val="24"/>
          <w:szCs w:val="24"/>
        </w:rPr>
      </w:pPr>
    </w:p>
    <w:p w14:paraId="0313B2B3" w14:textId="786761BE" w:rsidR="00BE41F9" w:rsidRPr="000439C6" w:rsidRDefault="00BE41F9" w:rsidP="00BE41F9">
      <w:pPr>
        <w:jc w:val="both"/>
        <w:rPr>
          <w:sz w:val="24"/>
          <w:szCs w:val="24"/>
        </w:rPr>
      </w:pPr>
      <w:r w:rsidRPr="000439C6">
        <w:rPr>
          <w:sz w:val="24"/>
          <w:szCs w:val="24"/>
        </w:rPr>
        <w:t xml:space="preserve">b) Caso “P”, após o decurso do prazo para a apresentação de contestação, se manifeste nos autos, espontaneamente, alegando a existência de vício do ato citatório, porquanto realizado por meio do “WhatsApp”, estar-se-ia diante de hipótese de vício de existência, validade ou de eficácia? Nesse cenário, como deveria proceder o juiz? </w:t>
      </w:r>
      <w:r w:rsidRPr="000439C6">
        <w:rPr>
          <w:b/>
          <w:bCs/>
          <w:sz w:val="24"/>
          <w:szCs w:val="24"/>
        </w:rPr>
        <w:t>(2,0)</w:t>
      </w:r>
    </w:p>
    <w:p w14:paraId="4F9A4614" w14:textId="77777777" w:rsidR="00BE41F9" w:rsidRPr="000439C6" w:rsidRDefault="00BE41F9" w:rsidP="00BE41F9">
      <w:pPr>
        <w:jc w:val="both"/>
        <w:rPr>
          <w:b/>
          <w:bCs/>
          <w:sz w:val="24"/>
          <w:szCs w:val="24"/>
        </w:rPr>
      </w:pPr>
      <w:r w:rsidRPr="000439C6">
        <w:rPr>
          <w:b/>
          <w:bCs/>
          <w:sz w:val="24"/>
          <w:szCs w:val="24"/>
        </w:rPr>
        <w:t xml:space="preserve">Resposta: ... </w:t>
      </w:r>
    </w:p>
    <w:p w14:paraId="25BB2677" w14:textId="77777777" w:rsidR="00BE41F9" w:rsidRPr="000439C6" w:rsidRDefault="00BE41F9" w:rsidP="00BE41F9">
      <w:pPr>
        <w:jc w:val="both"/>
        <w:rPr>
          <w:sz w:val="24"/>
          <w:szCs w:val="24"/>
        </w:rPr>
      </w:pPr>
    </w:p>
    <w:p w14:paraId="0AF59F98" w14:textId="1D8B571A" w:rsidR="00337664" w:rsidRPr="000439C6" w:rsidRDefault="00BE41F9" w:rsidP="00BE41F9">
      <w:pPr>
        <w:jc w:val="both"/>
        <w:rPr>
          <w:sz w:val="24"/>
          <w:szCs w:val="24"/>
        </w:rPr>
      </w:pPr>
      <w:r w:rsidRPr="000439C6">
        <w:rPr>
          <w:sz w:val="24"/>
          <w:szCs w:val="24"/>
        </w:rPr>
        <w:t xml:space="preserve">c) Caso proferida sentença sem a regular citação do réu, a sentença padeceria, nesta hipótese, de vício de existência, validade ou de eficácia? E, considerando o disposto nos arts. 64, § 4°, e 966, II, do CPC, em eventual caso de, apenas, incompetência absoluta do juízo? </w:t>
      </w:r>
      <w:r w:rsidRPr="000439C6">
        <w:rPr>
          <w:b/>
          <w:bCs/>
          <w:sz w:val="24"/>
          <w:szCs w:val="24"/>
        </w:rPr>
        <w:t>(2,0)</w:t>
      </w:r>
    </w:p>
    <w:p w14:paraId="6166D689" w14:textId="77777777" w:rsidR="00BE41F9" w:rsidRPr="000439C6" w:rsidRDefault="00BE41F9" w:rsidP="00BE41F9">
      <w:pPr>
        <w:jc w:val="both"/>
        <w:rPr>
          <w:b/>
          <w:bCs/>
          <w:sz w:val="24"/>
          <w:szCs w:val="24"/>
        </w:rPr>
      </w:pPr>
      <w:r w:rsidRPr="000439C6">
        <w:rPr>
          <w:b/>
          <w:bCs/>
          <w:sz w:val="24"/>
          <w:szCs w:val="24"/>
        </w:rPr>
        <w:t xml:space="preserve">Resposta: ... </w:t>
      </w:r>
    </w:p>
    <w:p w14:paraId="059933DA" w14:textId="77777777" w:rsidR="00BE41F9" w:rsidRDefault="00BE41F9" w:rsidP="00BE41F9">
      <w:pPr>
        <w:jc w:val="both"/>
      </w:pPr>
    </w:p>
    <w:sectPr w:rsidR="00BE41F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B004" w14:textId="77777777" w:rsidR="00395C72" w:rsidRDefault="00395C72" w:rsidP="00CD6481">
      <w:pPr>
        <w:spacing w:after="0" w:line="240" w:lineRule="auto"/>
      </w:pPr>
      <w:r>
        <w:separator/>
      </w:r>
    </w:p>
  </w:endnote>
  <w:endnote w:type="continuationSeparator" w:id="0">
    <w:p w14:paraId="1F2A4322" w14:textId="77777777" w:rsidR="00395C72" w:rsidRDefault="00395C72" w:rsidP="00CD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327F" w14:textId="77777777" w:rsidR="00395C72" w:rsidRDefault="00395C72" w:rsidP="00CD6481">
      <w:pPr>
        <w:spacing w:after="0" w:line="240" w:lineRule="auto"/>
      </w:pPr>
      <w:r>
        <w:separator/>
      </w:r>
    </w:p>
  </w:footnote>
  <w:footnote w:type="continuationSeparator" w:id="0">
    <w:p w14:paraId="190A17D9" w14:textId="77777777" w:rsidR="00395C72" w:rsidRDefault="00395C72" w:rsidP="00CD6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6993" w14:textId="73453A37" w:rsidR="00CD6481" w:rsidRDefault="00CD6481">
    <w:pPr>
      <w:pStyle w:val="Cabealho"/>
    </w:pPr>
    <w:r>
      <w:t>PROVA DE RECUPERAÇÃO – PROCEDIMENTO COMUM I</w:t>
    </w:r>
    <w:r w:rsidR="00A74826">
      <w:t xml:space="preserve"> – 21.02.2022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F9"/>
    <w:rsid w:val="000439C6"/>
    <w:rsid w:val="001553DC"/>
    <w:rsid w:val="001C65BA"/>
    <w:rsid w:val="00337664"/>
    <w:rsid w:val="00395C72"/>
    <w:rsid w:val="00A74826"/>
    <w:rsid w:val="00BE41F9"/>
    <w:rsid w:val="00CD6481"/>
    <w:rsid w:val="00E65A7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60D0"/>
  <w15:chartTrackingRefBased/>
  <w15:docId w15:val="{B99691C6-3C77-4CCC-A564-75016172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1F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41F9"/>
    <w:pPr>
      <w:ind w:left="720"/>
      <w:contextualSpacing/>
    </w:pPr>
  </w:style>
  <w:style w:type="paragraph" w:styleId="Cabealho">
    <w:name w:val="header"/>
    <w:basedOn w:val="Normal"/>
    <w:link w:val="CabealhoChar"/>
    <w:uiPriority w:val="99"/>
    <w:unhideWhenUsed/>
    <w:rsid w:val="00CD64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481"/>
  </w:style>
  <w:style w:type="paragraph" w:styleId="Rodap">
    <w:name w:val="footer"/>
    <w:basedOn w:val="Normal"/>
    <w:link w:val="RodapChar"/>
    <w:uiPriority w:val="99"/>
    <w:unhideWhenUsed/>
    <w:rsid w:val="00CD6481"/>
    <w:pPr>
      <w:tabs>
        <w:tab w:val="center" w:pos="4252"/>
        <w:tab w:val="right" w:pos="8504"/>
      </w:tabs>
      <w:spacing w:after="0" w:line="240" w:lineRule="auto"/>
    </w:pPr>
  </w:style>
  <w:style w:type="character" w:customStyle="1" w:styleId="RodapChar">
    <w:name w:val="Rodapé Char"/>
    <w:basedOn w:val="Fontepargpadro"/>
    <w:link w:val="Rodap"/>
    <w:uiPriority w:val="99"/>
    <w:rsid w:val="00CD6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500</Words>
  <Characters>2702</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SWENSSON LONGATO</dc:creator>
  <cp:keywords/>
  <dc:description/>
  <cp:lastModifiedBy>MATHEUS SWENSSON LONGATO</cp:lastModifiedBy>
  <cp:revision>4</cp:revision>
  <dcterms:created xsi:type="dcterms:W3CDTF">2022-02-21T14:39:00Z</dcterms:created>
  <dcterms:modified xsi:type="dcterms:W3CDTF">2022-02-21T14:47:00Z</dcterms:modified>
</cp:coreProperties>
</file>