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E787" w14:textId="6107D093" w:rsidR="00C7205F" w:rsidRDefault="00C7205F" w:rsidP="00C7205F">
      <w:pPr>
        <w:pStyle w:val="Ttulo1"/>
        <w:spacing w:line="360" w:lineRule="auto"/>
        <w:jc w:val="right"/>
        <w:rPr>
          <w:rFonts w:ascii="Cambria Math" w:hAnsi="Cambria Math"/>
          <w:b/>
          <w:sz w:val="22"/>
          <w:szCs w:val="22"/>
        </w:rPr>
      </w:pPr>
      <w:bookmarkStart w:id="0" w:name="_Toc20745436"/>
      <w:r>
        <w:rPr>
          <w:rFonts w:ascii="Cambria Math" w:hAnsi="Cambria Math"/>
          <w:b/>
          <w:sz w:val="22"/>
          <w:szCs w:val="22"/>
        </w:rPr>
        <w:t>Universidade de São Paulo</w:t>
      </w:r>
    </w:p>
    <w:p w14:paraId="25D31949" w14:textId="77777777" w:rsidR="00C7205F" w:rsidRPr="008B2C7A" w:rsidRDefault="00C7205F" w:rsidP="00C7205F">
      <w:pPr>
        <w:jc w:val="right"/>
        <w:rPr>
          <w:rFonts w:ascii="Cambria" w:hAnsi="Cambria"/>
          <w:sz w:val="16"/>
          <w:szCs w:val="16"/>
        </w:rPr>
      </w:pPr>
      <w:r w:rsidRPr="008B2C7A">
        <w:rPr>
          <w:rFonts w:ascii="Cambria" w:hAnsi="Cambria"/>
          <w:sz w:val="16"/>
          <w:szCs w:val="16"/>
        </w:rPr>
        <w:t>Faculdade de Filosofia, Letras e Ciências Humanas</w:t>
      </w:r>
    </w:p>
    <w:p w14:paraId="2E7DC6EF" w14:textId="77777777" w:rsidR="00C7205F" w:rsidRPr="008B2C7A" w:rsidRDefault="00C7205F" w:rsidP="00C7205F">
      <w:pPr>
        <w:jc w:val="right"/>
        <w:rPr>
          <w:rFonts w:ascii="Cambria" w:hAnsi="Cambria"/>
          <w:sz w:val="16"/>
          <w:szCs w:val="16"/>
        </w:rPr>
      </w:pPr>
      <w:r w:rsidRPr="008B2C7A">
        <w:rPr>
          <w:rFonts w:ascii="Cambria" w:hAnsi="Cambria"/>
          <w:sz w:val="16"/>
          <w:szCs w:val="16"/>
        </w:rPr>
        <w:t xml:space="preserve">Departamento de História </w:t>
      </w:r>
    </w:p>
    <w:p w14:paraId="2A458841" w14:textId="77777777" w:rsidR="00C7205F" w:rsidRPr="008B2C7A" w:rsidRDefault="00C7205F" w:rsidP="00C7205F">
      <w:pPr>
        <w:jc w:val="right"/>
        <w:rPr>
          <w:rFonts w:ascii="Cambria" w:hAnsi="Cambria"/>
          <w:sz w:val="16"/>
          <w:szCs w:val="16"/>
        </w:rPr>
      </w:pPr>
      <w:r w:rsidRPr="008B2C7A">
        <w:rPr>
          <w:rFonts w:ascii="Cambria" w:hAnsi="Cambria"/>
          <w:sz w:val="16"/>
          <w:szCs w:val="16"/>
        </w:rPr>
        <w:t>Prof. Rodrigo Goyena Soares</w:t>
      </w:r>
    </w:p>
    <w:p w14:paraId="4888FFC0" w14:textId="77777777" w:rsidR="00C7205F" w:rsidRPr="008B2C7A" w:rsidRDefault="00C7205F" w:rsidP="00C7205F">
      <w:pPr>
        <w:jc w:val="right"/>
        <w:rPr>
          <w:rFonts w:ascii="Cambria" w:hAnsi="Cambria"/>
          <w:sz w:val="16"/>
          <w:szCs w:val="16"/>
        </w:rPr>
      </w:pPr>
      <w:r w:rsidRPr="008B2C7A">
        <w:rPr>
          <w:rFonts w:ascii="Cambria" w:hAnsi="Cambria"/>
          <w:sz w:val="16"/>
          <w:szCs w:val="16"/>
        </w:rPr>
        <w:t xml:space="preserve">e-mail: </w:t>
      </w:r>
      <w:hyperlink r:id="rId5" w:history="1">
        <w:r w:rsidRPr="008B2C7A">
          <w:rPr>
            <w:rStyle w:val="Hyperlink"/>
            <w:rFonts w:ascii="Cambria" w:hAnsi="Cambria"/>
            <w:sz w:val="16"/>
            <w:szCs w:val="16"/>
          </w:rPr>
          <w:t>rodrigo.goyenasoares@usp.br</w:t>
        </w:r>
      </w:hyperlink>
    </w:p>
    <w:p w14:paraId="4AC8564B" w14:textId="77777777" w:rsidR="00C7205F" w:rsidRPr="004A2CD6" w:rsidRDefault="00C7205F" w:rsidP="00C7205F">
      <w:pPr>
        <w:jc w:val="right"/>
        <w:rPr>
          <w:rFonts w:ascii="Cambria" w:hAnsi="Cambria"/>
          <w:sz w:val="16"/>
          <w:szCs w:val="16"/>
        </w:rPr>
      </w:pPr>
      <w:r>
        <w:rPr>
          <w:rFonts w:ascii="Cambria" w:hAnsi="Cambria"/>
          <w:sz w:val="16"/>
          <w:szCs w:val="16"/>
        </w:rPr>
        <w:t>2</w:t>
      </w:r>
      <w:r w:rsidRPr="008B2C7A">
        <w:rPr>
          <w:rFonts w:ascii="Cambria" w:hAnsi="Cambria"/>
          <w:sz w:val="16"/>
          <w:szCs w:val="16"/>
        </w:rPr>
        <w:t>º semestre 202</w:t>
      </w:r>
      <w:r>
        <w:rPr>
          <w:rFonts w:ascii="Cambria" w:hAnsi="Cambria"/>
          <w:sz w:val="16"/>
          <w:szCs w:val="16"/>
        </w:rPr>
        <w:t>1 – FLH0647</w:t>
      </w:r>
    </w:p>
    <w:p w14:paraId="02A36A85" w14:textId="77777777" w:rsidR="00C7205F" w:rsidRPr="00944206" w:rsidRDefault="00C7205F" w:rsidP="00C7205F">
      <w:pPr>
        <w:pStyle w:val="Ttulo1"/>
        <w:spacing w:line="360" w:lineRule="auto"/>
        <w:jc w:val="center"/>
        <w:rPr>
          <w:rFonts w:ascii="Cambria Math" w:hAnsi="Cambria Math"/>
          <w:b/>
          <w:sz w:val="22"/>
          <w:szCs w:val="22"/>
        </w:rPr>
      </w:pPr>
      <w:r>
        <w:rPr>
          <w:rFonts w:ascii="Cambria Math" w:hAnsi="Cambria Math"/>
          <w:b/>
          <w:sz w:val="22"/>
          <w:szCs w:val="22"/>
        </w:rPr>
        <w:t xml:space="preserve">História </w:t>
      </w:r>
      <w:bookmarkEnd w:id="0"/>
      <w:r>
        <w:rPr>
          <w:rFonts w:ascii="Cambria Math" w:hAnsi="Cambria Math"/>
          <w:b/>
          <w:sz w:val="22"/>
          <w:szCs w:val="22"/>
        </w:rPr>
        <w:t>Econômica do Brasil Império</w:t>
      </w:r>
    </w:p>
    <w:p w14:paraId="78B02BBF" w14:textId="77777777" w:rsidR="004162FF" w:rsidRDefault="004162FF" w:rsidP="004162FF">
      <w:pPr>
        <w:ind w:left="360"/>
        <w:jc w:val="both"/>
        <w:rPr>
          <w:rFonts w:ascii="Cambria Math" w:hAnsi="Cambria Math"/>
          <w:b/>
          <w:sz w:val="21"/>
          <w:szCs w:val="21"/>
          <w:u w:val="single"/>
        </w:rPr>
      </w:pPr>
      <w:r w:rsidRPr="00E2498C">
        <w:rPr>
          <w:rFonts w:ascii="Cambria Math" w:hAnsi="Cambria Math"/>
          <w:b/>
          <w:sz w:val="21"/>
          <w:szCs w:val="21"/>
          <w:u w:val="single"/>
        </w:rPr>
        <w:t xml:space="preserve">Unidade III – </w:t>
      </w:r>
      <w:r>
        <w:rPr>
          <w:rFonts w:ascii="Cambria Math" w:hAnsi="Cambria Math"/>
          <w:b/>
          <w:sz w:val="21"/>
          <w:szCs w:val="21"/>
          <w:u w:val="single"/>
        </w:rPr>
        <w:t>As reformas da década de 1870 e a crise econômica do Império</w:t>
      </w:r>
    </w:p>
    <w:p w14:paraId="798272C7" w14:textId="26557245" w:rsidR="008D2E84" w:rsidRPr="00A423FA" w:rsidRDefault="008D2E84" w:rsidP="008D2E84">
      <w:pPr>
        <w:ind w:left="360"/>
        <w:jc w:val="both"/>
        <w:rPr>
          <w:rFonts w:ascii="Calibri" w:hAnsi="Calibri" w:cs="Calibri"/>
          <w:b/>
          <w:sz w:val="20"/>
          <w:szCs w:val="20"/>
          <w:u w:val="single"/>
        </w:rPr>
      </w:pPr>
    </w:p>
    <w:p w14:paraId="3678027A" w14:textId="025AE8FB" w:rsidR="004162FF" w:rsidRPr="00197C34" w:rsidRDefault="004162FF" w:rsidP="00197C34">
      <w:pPr>
        <w:pStyle w:val="PargrafodaLista"/>
        <w:numPr>
          <w:ilvl w:val="0"/>
          <w:numId w:val="4"/>
        </w:numPr>
        <w:jc w:val="both"/>
        <w:rPr>
          <w:rFonts w:ascii="Cambria" w:hAnsi="Cambria"/>
          <w:bCs/>
          <w:sz w:val="21"/>
          <w:szCs w:val="21"/>
        </w:rPr>
      </w:pPr>
      <w:r w:rsidRPr="00197C34">
        <w:rPr>
          <w:rFonts w:ascii="Cambria" w:hAnsi="Cambria"/>
          <w:bCs/>
          <w:sz w:val="21"/>
          <w:szCs w:val="21"/>
        </w:rPr>
        <w:t>A crise econômica da abolição e a Proclamação da República</w:t>
      </w:r>
    </w:p>
    <w:p w14:paraId="1D596407" w14:textId="3ABAC736" w:rsidR="00477657" w:rsidRPr="00197C34" w:rsidRDefault="004162FF" w:rsidP="00197C34">
      <w:pPr>
        <w:pStyle w:val="PargrafodaLista"/>
        <w:numPr>
          <w:ilvl w:val="1"/>
          <w:numId w:val="1"/>
        </w:numPr>
        <w:ind w:left="1440"/>
        <w:jc w:val="both"/>
        <w:rPr>
          <w:rFonts w:ascii="Cambria" w:hAnsi="Cambria"/>
          <w:bCs/>
          <w:sz w:val="21"/>
          <w:szCs w:val="21"/>
        </w:rPr>
      </w:pPr>
      <w:r w:rsidRPr="00197C34">
        <w:rPr>
          <w:rFonts w:ascii="Cambria" w:hAnsi="Cambria"/>
          <w:bCs/>
          <w:sz w:val="21"/>
          <w:szCs w:val="21"/>
          <w:lang w:val="en-US"/>
        </w:rPr>
        <w:t xml:space="preserve">SCHULZ, John. The Financial Crisis of Abolition. </w:t>
      </w:r>
      <w:r w:rsidRPr="00197C34">
        <w:rPr>
          <w:rFonts w:ascii="Cambria" w:hAnsi="Cambria"/>
          <w:bCs/>
          <w:sz w:val="21"/>
          <w:szCs w:val="21"/>
        </w:rPr>
        <w:t xml:space="preserve">Capítulos 4 e 5: </w:t>
      </w:r>
      <w:proofErr w:type="spellStart"/>
      <w:r w:rsidRPr="00197C34">
        <w:rPr>
          <w:rFonts w:ascii="Cambria" w:hAnsi="Cambria"/>
          <w:bCs/>
          <w:sz w:val="21"/>
          <w:szCs w:val="21"/>
        </w:rPr>
        <w:t>Coffee</w:t>
      </w:r>
      <w:proofErr w:type="spellEnd"/>
      <w:r w:rsidRPr="00197C34">
        <w:rPr>
          <w:rFonts w:ascii="Cambria" w:hAnsi="Cambria"/>
          <w:bCs/>
          <w:sz w:val="21"/>
          <w:szCs w:val="21"/>
        </w:rPr>
        <w:t xml:space="preserve"> </w:t>
      </w:r>
      <w:proofErr w:type="spellStart"/>
      <w:r w:rsidRPr="00197C34">
        <w:rPr>
          <w:rFonts w:ascii="Cambria" w:hAnsi="Cambria"/>
          <w:bCs/>
          <w:sz w:val="21"/>
          <w:szCs w:val="21"/>
        </w:rPr>
        <w:t>Planters</w:t>
      </w:r>
      <w:proofErr w:type="spellEnd"/>
      <w:r w:rsidRPr="00197C34">
        <w:rPr>
          <w:rFonts w:ascii="Cambria" w:hAnsi="Cambria"/>
          <w:bCs/>
          <w:sz w:val="21"/>
          <w:szCs w:val="21"/>
        </w:rPr>
        <w:t xml:space="preserve"> / </w:t>
      </w:r>
      <w:proofErr w:type="spellStart"/>
      <w:r w:rsidRPr="00197C34">
        <w:rPr>
          <w:rFonts w:ascii="Cambria" w:hAnsi="Cambria"/>
          <w:bCs/>
          <w:sz w:val="21"/>
          <w:szCs w:val="21"/>
        </w:rPr>
        <w:t>Abolition</w:t>
      </w:r>
      <w:proofErr w:type="spellEnd"/>
      <w:r w:rsidRPr="00197C34">
        <w:rPr>
          <w:rFonts w:ascii="Cambria" w:hAnsi="Cambria"/>
          <w:bCs/>
          <w:sz w:val="21"/>
          <w:szCs w:val="21"/>
        </w:rPr>
        <w:t xml:space="preserve">. New Haven </w:t>
      </w:r>
      <w:proofErr w:type="spellStart"/>
      <w:r w:rsidRPr="00197C34">
        <w:rPr>
          <w:rFonts w:ascii="Cambria" w:hAnsi="Cambria"/>
          <w:bCs/>
          <w:sz w:val="21"/>
          <w:szCs w:val="21"/>
        </w:rPr>
        <w:t>and</w:t>
      </w:r>
      <w:proofErr w:type="spellEnd"/>
      <w:r w:rsidRPr="00197C34">
        <w:rPr>
          <w:rFonts w:ascii="Cambria" w:hAnsi="Cambria"/>
          <w:bCs/>
          <w:sz w:val="21"/>
          <w:szCs w:val="21"/>
        </w:rPr>
        <w:t xml:space="preserve"> London: Yale </w:t>
      </w:r>
      <w:proofErr w:type="spellStart"/>
      <w:r w:rsidRPr="00197C34">
        <w:rPr>
          <w:rFonts w:ascii="Cambria" w:hAnsi="Cambria"/>
          <w:bCs/>
          <w:sz w:val="21"/>
          <w:szCs w:val="21"/>
        </w:rPr>
        <w:t>University</w:t>
      </w:r>
      <w:proofErr w:type="spellEnd"/>
      <w:r w:rsidRPr="00197C34">
        <w:rPr>
          <w:rFonts w:ascii="Cambria" w:hAnsi="Cambria"/>
          <w:bCs/>
          <w:sz w:val="21"/>
          <w:szCs w:val="21"/>
        </w:rPr>
        <w:t xml:space="preserve"> Press, 2008.</w:t>
      </w:r>
    </w:p>
    <w:p w14:paraId="55525955" w14:textId="17A6D542" w:rsidR="0065275E" w:rsidRPr="00197C34" w:rsidRDefault="00477657" w:rsidP="00197C34">
      <w:pPr>
        <w:pStyle w:val="PargrafodaLista"/>
        <w:numPr>
          <w:ilvl w:val="0"/>
          <w:numId w:val="4"/>
        </w:numPr>
        <w:jc w:val="both"/>
        <w:rPr>
          <w:rFonts w:ascii="Cambria" w:hAnsi="Cambria"/>
        </w:rPr>
      </w:pPr>
      <w:r w:rsidRPr="00197C34">
        <w:rPr>
          <w:rFonts w:ascii="Cambria" w:hAnsi="Cambria"/>
          <w:bCs/>
          <w:sz w:val="21"/>
          <w:szCs w:val="21"/>
        </w:rPr>
        <w:t>Prova final e entrega dos fichamentos (até 17/12)</w:t>
      </w:r>
    </w:p>
    <w:p w14:paraId="76500E54" w14:textId="77777777" w:rsidR="00477657" w:rsidRDefault="00477657" w:rsidP="00477657">
      <w:pPr>
        <w:pStyle w:val="PargrafodaLista"/>
        <w:jc w:val="both"/>
      </w:pPr>
    </w:p>
    <w:p w14:paraId="772EF348" w14:textId="0C03F96E" w:rsidR="0044722A" w:rsidRPr="001F0C7C" w:rsidRDefault="0044722A" w:rsidP="0044722A">
      <w:pPr>
        <w:tabs>
          <w:tab w:val="left" w:pos="1733"/>
        </w:tabs>
        <w:spacing w:after="200"/>
        <w:jc w:val="both"/>
        <w:rPr>
          <w:rFonts w:ascii="Calibri" w:hAnsi="Calibri" w:cs="Calibri"/>
          <w:b/>
          <w:bCs/>
          <w:sz w:val="20"/>
          <w:szCs w:val="20"/>
        </w:rPr>
      </w:pPr>
      <w:r w:rsidRPr="001F0C7C">
        <w:rPr>
          <w:rFonts w:ascii="Calibri" w:hAnsi="Calibri" w:cs="Calibri"/>
          <w:b/>
          <w:bCs/>
          <w:sz w:val="20"/>
          <w:szCs w:val="20"/>
          <w:u w:val="single"/>
        </w:rPr>
        <w:t xml:space="preserve">I] O movimento abolicionista </w:t>
      </w:r>
      <w:r w:rsidR="001F0C7C" w:rsidRPr="001F0C7C">
        <w:rPr>
          <w:rFonts w:ascii="Calibri" w:hAnsi="Calibri" w:cs="Calibri"/>
          <w:b/>
          <w:bCs/>
          <w:sz w:val="20"/>
          <w:szCs w:val="20"/>
          <w:u w:val="single"/>
        </w:rPr>
        <w:t xml:space="preserve">e a crise econômica da abolição </w:t>
      </w:r>
    </w:p>
    <w:p w14:paraId="5F37F6FB" w14:textId="77777777" w:rsidR="0044722A" w:rsidRPr="00FB7AAD" w:rsidRDefault="0044722A" w:rsidP="0044722A">
      <w:pPr>
        <w:numPr>
          <w:ilvl w:val="0"/>
          <w:numId w:val="3"/>
        </w:numPr>
        <w:tabs>
          <w:tab w:val="left" w:pos="1733"/>
        </w:tabs>
        <w:spacing w:after="200"/>
        <w:jc w:val="both"/>
        <w:rPr>
          <w:rFonts w:ascii="Calibri" w:hAnsi="Calibri" w:cs="Calibri"/>
          <w:sz w:val="20"/>
          <w:szCs w:val="20"/>
        </w:rPr>
      </w:pPr>
      <w:r w:rsidRPr="00FB7AAD">
        <w:rPr>
          <w:rFonts w:ascii="Calibri" w:hAnsi="Calibri" w:cs="Calibri"/>
          <w:sz w:val="20"/>
          <w:szCs w:val="20"/>
        </w:rPr>
        <w:t>1878: Cansanção de Sinimbu nomeado chefe do gabinete.</w:t>
      </w:r>
    </w:p>
    <w:p w14:paraId="010AF5B2" w14:textId="77777777" w:rsidR="0044722A" w:rsidRPr="00FB7AAD" w:rsidRDefault="0044722A" w:rsidP="0044722A">
      <w:pPr>
        <w:numPr>
          <w:ilvl w:val="1"/>
          <w:numId w:val="3"/>
        </w:numPr>
        <w:tabs>
          <w:tab w:val="left" w:pos="1733"/>
        </w:tabs>
        <w:spacing w:after="200"/>
        <w:jc w:val="both"/>
        <w:rPr>
          <w:rFonts w:ascii="Calibri" w:hAnsi="Calibri" w:cs="Calibri"/>
          <w:sz w:val="20"/>
          <w:szCs w:val="20"/>
        </w:rPr>
      </w:pPr>
      <w:r w:rsidRPr="00FB7AAD">
        <w:rPr>
          <w:rFonts w:ascii="Calibri" w:hAnsi="Calibri" w:cs="Calibri"/>
          <w:sz w:val="20"/>
          <w:szCs w:val="20"/>
        </w:rPr>
        <w:t>Gradualismo emancipatório (liberais moderados) vs. abolição (liberais radicais).</w:t>
      </w:r>
    </w:p>
    <w:p w14:paraId="1C806078" w14:textId="77777777" w:rsidR="0044722A" w:rsidRPr="00FB7AAD" w:rsidRDefault="0044722A" w:rsidP="0044722A">
      <w:pPr>
        <w:numPr>
          <w:ilvl w:val="2"/>
          <w:numId w:val="3"/>
        </w:numPr>
        <w:tabs>
          <w:tab w:val="left" w:pos="1733"/>
        </w:tabs>
        <w:spacing w:after="200"/>
        <w:jc w:val="both"/>
        <w:rPr>
          <w:rFonts w:ascii="Calibri" w:hAnsi="Calibri" w:cs="Calibri"/>
          <w:sz w:val="20"/>
          <w:szCs w:val="20"/>
        </w:rPr>
      </w:pPr>
      <w:r w:rsidRPr="00FB7AAD">
        <w:rPr>
          <w:rFonts w:ascii="Calibri" w:hAnsi="Calibri" w:cs="Calibri"/>
          <w:sz w:val="20"/>
          <w:szCs w:val="20"/>
        </w:rPr>
        <w:t>Joaquim Nabuco propõe data limite de 1890.</w:t>
      </w:r>
    </w:p>
    <w:p w14:paraId="040194EB" w14:textId="77777777" w:rsidR="0044722A" w:rsidRPr="00FB7AAD" w:rsidRDefault="0044722A" w:rsidP="0044722A">
      <w:pPr>
        <w:numPr>
          <w:ilvl w:val="3"/>
          <w:numId w:val="3"/>
        </w:numPr>
        <w:tabs>
          <w:tab w:val="left" w:pos="1733"/>
        </w:tabs>
        <w:spacing w:after="200"/>
        <w:jc w:val="both"/>
        <w:rPr>
          <w:rFonts w:ascii="Calibri" w:hAnsi="Calibri" w:cs="Calibri"/>
          <w:sz w:val="20"/>
          <w:szCs w:val="20"/>
        </w:rPr>
      </w:pPr>
      <w:r w:rsidRPr="00FB7AAD">
        <w:rPr>
          <w:rFonts w:ascii="Calibri" w:hAnsi="Calibri" w:cs="Calibri"/>
          <w:sz w:val="20"/>
          <w:szCs w:val="20"/>
        </w:rPr>
        <w:t>Câmara rejeita, mas Nabuco lança projeto abolicionista:</w:t>
      </w:r>
    </w:p>
    <w:p w14:paraId="4BBAB8A0" w14:textId="77777777" w:rsidR="0044722A" w:rsidRPr="00FB7AAD" w:rsidRDefault="0044722A" w:rsidP="0044722A">
      <w:pPr>
        <w:numPr>
          <w:ilvl w:val="4"/>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No Brasil:</w:t>
      </w:r>
    </w:p>
    <w:p w14:paraId="5549ABA0" w14:textId="77777777" w:rsidR="0044722A" w:rsidRPr="00FB7AAD" w:rsidRDefault="0044722A" w:rsidP="0044722A">
      <w:pPr>
        <w:numPr>
          <w:ilvl w:val="5"/>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Sociedade Brasileira Contra a Escravidão.</w:t>
      </w:r>
    </w:p>
    <w:p w14:paraId="064A0507" w14:textId="77777777" w:rsidR="0044722A" w:rsidRPr="00FB7AAD" w:rsidRDefault="0044722A" w:rsidP="0044722A">
      <w:pPr>
        <w:numPr>
          <w:ilvl w:val="5"/>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Associação Central Emancipadora.</w:t>
      </w:r>
    </w:p>
    <w:p w14:paraId="60AF803C" w14:textId="77777777" w:rsidR="0044722A" w:rsidRPr="00FB7AAD" w:rsidRDefault="0044722A" w:rsidP="0044722A">
      <w:pPr>
        <w:numPr>
          <w:ilvl w:val="6"/>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1883: Confederação Abolicionista.</w:t>
      </w:r>
    </w:p>
    <w:p w14:paraId="47D75B75" w14:textId="77777777" w:rsidR="0044722A" w:rsidRPr="00FB7AAD" w:rsidRDefault="0044722A" w:rsidP="0044722A">
      <w:pPr>
        <w:numPr>
          <w:ilvl w:val="4"/>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No exterior:</w:t>
      </w:r>
    </w:p>
    <w:p w14:paraId="2BDC734B" w14:textId="77777777" w:rsidR="0044722A" w:rsidRDefault="0044722A" w:rsidP="0044722A">
      <w:pPr>
        <w:numPr>
          <w:ilvl w:val="5"/>
          <w:numId w:val="3"/>
        </w:numPr>
        <w:tabs>
          <w:tab w:val="left" w:pos="1733"/>
        </w:tabs>
        <w:spacing w:after="200"/>
        <w:ind w:hanging="357"/>
        <w:jc w:val="both"/>
        <w:rPr>
          <w:rFonts w:ascii="Calibri" w:hAnsi="Calibri" w:cs="Calibri"/>
          <w:sz w:val="20"/>
          <w:szCs w:val="20"/>
          <w:lang w:val="en-US"/>
        </w:rPr>
      </w:pPr>
      <w:r w:rsidRPr="00FB7AAD">
        <w:rPr>
          <w:rFonts w:ascii="Calibri" w:hAnsi="Calibri" w:cs="Calibri"/>
          <w:sz w:val="20"/>
          <w:szCs w:val="20"/>
          <w:lang w:val="en-US"/>
        </w:rPr>
        <w:t xml:space="preserve">1880: </w:t>
      </w:r>
      <w:proofErr w:type="spellStart"/>
      <w:r w:rsidRPr="00FB7AAD">
        <w:rPr>
          <w:rFonts w:ascii="Calibri" w:hAnsi="Calibri" w:cs="Calibri"/>
          <w:sz w:val="20"/>
          <w:szCs w:val="20"/>
          <w:lang w:val="en-US"/>
        </w:rPr>
        <w:t>viagem</w:t>
      </w:r>
      <w:proofErr w:type="spellEnd"/>
      <w:r w:rsidRPr="00FB7AAD">
        <w:rPr>
          <w:rFonts w:ascii="Calibri" w:hAnsi="Calibri" w:cs="Calibri"/>
          <w:sz w:val="20"/>
          <w:szCs w:val="20"/>
          <w:lang w:val="en-US"/>
        </w:rPr>
        <w:t xml:space="preserve"> à Europa. </w:t>
      </w:r>
    </w:p>
    <w:p w14:paraId="40DC7EC2" w14:textId="3B17F1B5" w:rsidR="0044722A" w:rsidRPr="0044722A" w:rsidRDefault="0044722A" w:rsidP="0044722A">
      <w:pPr>
        <w:numPr>
          <w:ilvl w:val="6"/>
          <w:numId w:val="3"/>
        </w:numPr>
        <w:tabs>
          <w:tab w:val="left" w:pos="1733"/>
        </w:tabs>
        <w:spacing w:after="200"/>
        <w:ind w:hanging="357"/>
        <w:jc w:val="both"/>
        <w:rPr>
          <w:rFonts w:ascii="Calibri" w:hAnsi="Calibri" w:cs="Calibri"/>
          <w:sz w:val="20"/>
          <w:szCs w:val="20"/>
          <w:lang w:val="en-US"/>
        </w:rPr>
      </w:pPr>
      <w:proofErr w:type="spellStart"/>
      <w:r w:rsidRPr="00FB7AAD">
        <w:rPr>
          <w:rFonts w:ascii="Calibri" w:hAnsi="Calibri" w:cs="Calibri"/>
          <w:sz w:val="20"/>
          <w:szCs w:val="20"/>
          <w:lang w:val="en-US"/>
        </w:rPr>
        <w:t>Contatos</w:t>
      </w:r>
      <w:proofErr w:type="spellEnd"/>
      <w:r w:rsidRPr="00FB7AAD">
        <w:rPr>
          <w:rFonts w:ascii="Calibri" w:hAnsi="Calibri" w:cs="Calibri"/>
          <w:sz w:val="20"/>
          <w:szCs w:val="20"/>
          <w:lang w:val="en-US"/>
        </w:rPr>
        <w:t xml:space="preserve"> com o Foreign Society for the Abolition of Slavery.</w:t>
      </w:r>
    </w:p>
    <w:p w14:paraId="48023648" w14:textId="505ABE06" w:rsidR="0044722A" w:rsidRPr="0044722A" w:rsidRDefault="0044722A" w:rsidP="0044722A">
      <w:pPr>
        <w:numPr>
          <w:ilvl w:val="0"/>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Forte mobilização abolicionista na década de 1880.</w:t>
      </w:r>
    </w:p>
    <w:p w14:paraId="4B505797" w14:textId="0F0FABEE" w:rsidR="0044722A" w:rsidRPr="005B08B4" w:rsidRDefault="0044722A" w:rsidP="0044722A">
      <w:pPr>
        <w:numPr>
          <w:ilvl w:val="1"/>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Formação de primeiro movimento de opinião pública no Brasi</w:t>
      </w:r>
      <w:r>
        <w:rPr>
          <w:rFonts w:ascii="Calibri" w:hAnsi="Calibri" w:cs="Calibri"/>
          <w:sz w:val="20"/>
          <w:szCs w:val="20"/>
        </w:rPr>
        <w:t>l</w:t>
      </w:r>
    </w:p>
    <w:p w14:paraId="643D1F22" w14:textId="77777777" w:rsidR="0044722A" w:rsidRPr="00FB7AAD" w:rsidRDefault="0044722A" w:rsidP="0044722A">
      <w:pPr>
        <w:numPr>
          <w:ilvl w:val="2"/>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Mundo rural:</w:t>
      </w:r>
    </w:p>
    <w:p w14:paraId="17E05A82" w14:textId="77777777" w:rsidR="0044722A" w:rsidRPr="00FB7AAD" w:rsidRDefault="0044722A" w:rsidP="0044722A">
      <w:pPr>
        <w:numPr>
          <w:ilvl w:val="3"/>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Queimadas de Campos (canaviais): RJ.</w:t>
      </w:r>
    </w:p>
    <w:p w14:paraId="14FCEA12" w14:textId="77777777" w:rsidR="0044722A" w:rsidRPr="00FB7AAD" w:rsidRDefault="0044722A" w:rsidP="0044722A">
      <w:pPr>
        <w:numPr>
          <w:ilvl w:val="3"/>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 xml:space="preserve">Movimento dos </w:t>
      </w:r>
      <w:proofErr w:type="spellStart"/>
      <w:r w:rsidRPr="00FB7AAD">
        <w:rPr>
          <w:rFonts w:ascii="Calibri" w:hAnsi="Calibri" w:cs="Calibri"/>
          <w:sz w:val="20"/>
          <w:szCs w:val="20"/>
        </w:rPr>
        <w:t>Caifazes</w:t>
      </w:r>
      <w:proofErr w:type="spellEnd"/>
      <w:r w:rsidRPr="00FB7AAD">
        <w:rPr>
          <w:rFonts w:ascii="Calibri" w:hAnsi="Calibri" w:cs="Calibri"/>
          <w:sz w:val="20"/>
          <w:szCs w:val="20"/>
        </w:rPr>
        <w:t>: SP (rapto de escravos, para libertá-los em Santos).</w:t>
      </w:r>
    </w:p>
    <w:p w14:paraId="45AC7AE6" w14:textId="77777777" w:rsidR="0044722A" w:rsidRPr="00FB7AAD" w:rsidRDefault="0044722A" w:rsidP="0044722A">
      <w:pPr>
        <w:numPr>
          <w:ilvl w:val="2"/>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Mundo urbano:</w:t>
      </w:r>
    </w:p>
    <w:p w14:paraId="04F3928A" w14:textId="77777777" w:rsidR="0044722A" w:rsidRPr="00FB7AAD" w:rsidRDefault="0044722A" w:rsidP="0044722A">
      <w:pPr>
        <w:numPr>
          <w:ilvl w:val="3"/>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Jornais, poetas e advogados.</w:t>
      </w:r>
    </w:p>
    <w:p w14:paraId="24FFBF22" w14:textId="41D1D3A6" w:rsidR="0044722A" w:rsidRDefault="0044722A" w:rsidP="0044722A">
      <w:pPr>
        <w:numPr>
          <w:ilvl w:val="3"/>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Formação de quilombos.</w:t>
      </w:r>
    </w:p>
    <w:p w14:paraId="29B14C04" w14:textId="77777777" w:rsidR="0044722A" w:rsidRPr="0044722A" w:rsidRDefault="0044722A" w:rsidP="0044722A">
      <w:pPr>
        <w:tabs>
          <w:tab w:val="left" w:pos="1733"/>
        </w:tabs>
        <w:spacing w:after="200"/>
        <w:ind w:left="2880"/>
        <w:jc w:val="both"/>
        <w:rPr>
          <w:rFonts w:ascii="Calibri" w:hAnsi="Calibri" w:cs="Calibri"/>
          <w:sz w:val="20"/>
          <w:szCs w:val="20"/>
        </w:rPr>
      </w:pPr>
    </w:p>
    <w:p w14:paraId="75BD0D21" w14:textId="4438D814" w:rsidR="0044722A" w:rsidRDefault="0044722A" w:rsidP="0044722A">
      <w:pPr>
        <w:numPr>
          <w:ilvl w:val="0"/>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lastRenderedPageBreak/>
        <w:t>Condução da emancipação no Brasil:</w:t>
      </w:r>
    </w:p>
    <w:p w14:paraId="53C64052" w14:textId="458D00ED" w:rsidR="0044722A" w:rsidRPr="00FB7AAD" w:rsidRDefault="0044722A" w:rsidP="0044722A">
      <w:pPr>
        <w:numPr>
          <w:ilvl w:val="1"/>
          <w:numId w:val="3"/>
        </w:numPr>
        <w:tabs>
          <w:tab w:val="left" w:pos="1733"/>
        </w:tabs>
        <w:spacing w:after="200"/>
        <w:jc w:val="both"/>
        <w:rPr>
          <w:rFonts w:ascii="Calibri" w:hAnsi="Calibri" w:cs="Calibri"/>
          <w:sz w:val="20"/>
          <w:szCs w:val="20"/>
        </w:rPr>
      </w:pPr>
      <w:r>
        <w:rPr>
          <w:rFonts w:ascii="Calibri" w:hAnsi="Calibri" w:cs="Calibri"/>
          <w:sz w:val="20"/>
          <w:szCs w:val="20"/>
        </w:rPr>
        <w:t xml:space="preserve">1881: imposto sobre o comércio interprovincial de escravos. </w:t>
      </w:r>
    </w:p>
    <w:p w14:paraId="70AD978F" w14:textId="77777777" w:rsidR="0044722A" w:rsidRPr="00FB7AAD" w:rsidRDefault="0044722A" w:rsidP="0044722A">
      <w:pPr>
        <w:numPr>
          <w:ilvl w:val="1"/>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 xml:space="preserve">1884: Ceará declara-se livre da escravidão. </w:t>
      </w:r>
    </w:p>
    <w:p w14:paraId="4E9C2A6E" w14:textId="77777777" w:rsidR="0044722A" w:rsidRPr="00FB7AAD" w:rsidRDefault="0044722A" w:rsidP="0044722A">
      <w:pPr>
        <w:numPr>
          <w:ilvl w:val="2"/>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Anos antes, havia-se decidido não mais embarcar escravos para os portos do Sudeste.</w:t>
      </w:r>
    </w:p>
    <w:p w14:paraId="5814A3F0" w14:textId="77777777" w:rsidR="0044722A" w:rsidRPr="00FB7AAD" w:rsidRDefault="0044722A" w:rsidP="0044722A">
      <w:pPr>
        <w:numPr>
          <w:ilvl w:val="1"/>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1885: Amazonas junta-se ao Ceará.</w:t>
      </w:r>
    </w:p>
    <w:p w14:paraId="2AE21032" w14:textId="77777777" w:rsidR="0044722A" w:rsidRPr="00FB7AAD" w:rsidRDefault="0044722A" w:rsidP="0044722A">
      <w:pPr>
        <w:numPr>
          <w:ilvl w:val="2"/>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Cresce pressão abolicionista nas províncias onde a economia estava ligada à escravidão.</w:t>
      </w:r>
    </w:p>
    <w:p w14:paraId="3D94181E" w14:textId="77777777" w:rsidR="0044722A" w:rsidRPr="00FB7AAD" w:rsidRDefault="0044722A" w:rsidP="0044722A">
      <w:pPr>
        <w:numPr>
          <w:ilvl w:val="3"/>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No Nordeste: BA/MA/PE.</w:t>
      </w:r>
    </w:p>
    <w:p w14:paraId="756E1B73" w14:textId="77777777" w:rsidR="0044722A" w:rsidRPr="003A7D92" w:rsidRDefault="0044722A" w:rsidP="0044722A">
      <w:pPr>
        <w:numPr>
          <w:ilvl w:val="4"/>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No Sudeste: MG/RJ/SP.</w:t>
      </w:r>
    </w:p>
    <w:p w14:paraId="1C2001D7" w14:textId="77777777" w:rsidR="0044722A" w:rsidRPr="00FB7AAD" w:rsidRDefault="0044722A" w:rsidP="0044722A">
      <w:pPr>
        <w:numPr>
          <w:ilvl w:val="0"/>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Resposta do Império:</w:t>
      </w:r>
    </w:p>
    <w:p w14:paraId="12F360B6" w14:textId="77777777" w:rsidR="0044722A" w:rsidRPr="00FB7AAD" w:rsidRDefault="0044722A" w:rsidP="0044722A">
      <w:pPr>
        <w:numPr>
          <w:ilvl w:val="1"/>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Projeto de Souza Dantas sobre alforria dos sexagenários.</w:t>
      </w:r>
    </w:p>
    <w:p w14:paraId="1DD1E429" w14:textId="77777777" w:rsidR="0044722A" w:rsidRPr="00FB7AAD" w:rsidRDefault="0044722A" w:rsidP="0044722A">
      <w:pPr>
        <w:numPr>
          <w:ilvl w:val="2"/>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Câmara rechaça o projeto de Souza Dantas.</w:t>
      </w:r>
    </w:p>
    <w:p w14:paraId="3A6DEFCD" w14:textId="63C0227D" w:rsidR="0044722A" w:rsidRPr="00FB7AAD" w:rsidRDefault="0044722A" w:rsidP="001F0C7C">
      <w:pPr>
        <w:numPr>
          <w:ilvl w:val="1"/>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Dom Pedro II nomeia outro liberal, José Antônio Saraiva, que consegue aprovar projeto de Souza Dantas com acréscimo de letra de lei que incluía cláusula indenizatória para os proprietários de escravos alforriados.</w:t>
      </w:r>
    </w:p>
    <w:p w14:paraId="26956829" w14:textId="77777777" w:rsidR="0044722A" w:rsidRPr="00FB7AAD" w:rsidRDefault="0044722A" w:rsidP="0044722A">
      <w:pPr>
        <w:numPr>
          <w:ilvl w:val="1"/>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 xml:space="preserve">Câmara aceita projeto de Saraiva, </w:t>
      </w:r>
      <w:proofErr w:type="gramStart"/>
      <w:r w:rsidRPr="00FB7AAD">
        <w:rPr>
          <w:rFonts w:ascii="Calibri" w:hAnsi="Calibri" w:cs="Calibri"/>
          <w:sz w:val="20"/>
          <w:szCs w:val="20"/>
        </w:rPr>
        <w:t>mais</w:t>
      </w:r>
      <w:proofErr w:type="gramEnd"/>
      <w:r w:rsidRPr="00FB7AAD">
        <w:rPr>
          <w:rFonts w:ascii="Calibri" w:hAnsi="Calibri" w:cs="Calibri"/>
          <w:sz w:val="20"/>
          <w:szCs w:val="20"/>
        </w:rPr>
        <w:t xml:space="preserve"> Senado era conservador!</w:t>
      </w:r>
    </w:p>
    <w:p w14:paraId="320C149C" w14:textId="77777777" w:rsidR="001F0C7C" w:rsidRDefault="0044722A" w:rsidP="0044722A">
      <w:pPr>
        <w:numPr>
          <w:ilvl w:val="2"/>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 xml:space="preserve">Para aprovar a Lei dos Sexagenários, Saraiva entregou a presidência do Conselho de Ministros ao Barão de Cotegipe (conservador): </w:t>
      </w:r>
    </w:p>
    <w:p w14:paraId="4CC9BAD2" w14:textId="764E257D" w:rsidR="0044722A" w:rsidRPr="00FB7AAD" w:rsidRDefault="001F0C7C" w:rsidP="001F0C7C">
      <w:pPr>
        <w:numPr>
          <w:ilvl w:val="3"/>
          <w:numId w:val="3"/>
        </w:numPr>
        <w:tabs>
          <w:tab w:val="left" w:pos="1733"/>
        </w:tabs>
        <w:spacing w:after="200"/>
        <w:jc w:val="both"/>
        <w:rPr>
          <w:rFonts w:ascii="Calibri" w:hAnsi="Calibri" w:cs="Calibri"/>
          <w:sz w:val="20"/>
          <w:szCs w:val="20"/>
        </w:rPr>
      </w:pPr>
      <w:r>
        <w:rPr>
          <w:rFonts w:ascii="Calibri" w:hAnsi="Calibri" w:cs="Calibri"/>
          <w:sz w:val="20"/>
          <w:szCs w:val="20"/>
        </w:rPr>
        <w:t>E</w:t>
      </w:r>
      <w:r w:rsidR="0044722A" w:rsidRPr="00FB7AAD">
        <w:rPr>
          <w:rFonts w:ascii="Calibri" w:hAnsi="Calibri" w:cs="Calibri"/>
          <w:sz w:val="20"/>
          <w:szCs w:val="20"/>
        </w:rPr>
        <w:t>ra moeda de troca para somar os votos do Senado que faltavam para aprovar a Lei.</w:t>
      </w:r>
    </w:p>
    <w:p w14:paraId="7210E087" w14:textId="77777777" w:rsidR="0044722A" w:rsidRPr="00FB7AAD" w:rsidRDefault="0044722A" w:rsidP="001F0C7C">
      <w:pPr>
        <w:numPr>
          <w:ilvl w:val="4"/>
          <w:numId w:val="3"/>
        </w:numPr>
        <w:tabs>
          <w:tab w:val="left" w:pos="1733"/>
        </w:tabs>
        <w:spacing w:after="200"/>
        <w:jc w:val="both"/>
        <w:rPr>
          <w:rFonts w:ascii="Calibri" w:hAnsi="Calibri" w:cs="Calibri"/>
          <w:sz w:val="20"/>
          <w:szCs w:val="20"/>
        </w:rPr>
      </w:pPr>
      <w:r w:rsidRPr="00FB7AAD">
        <w:rPr>
          <w:rFonts w:ascii="Calibri" w:hAnsi="Calibri" w:cs="Calibri"/>
          <w:sz w:val="20"/>
          <w:szCs w:val="20"/>
        </w:rPr>
        <w:t xml:space="preserve">28 de setembro de 1885: edição da Lei dos Sexagenários </w:t>
      </w:r>
      <w:r>
        <w:rPr>
          <w:rFonts w:ascii="Calibri" w:hAnsi="Calibri" w:cs="Calibri"/>
          <w:sz w:val="20"/>
          <w:szCs w:val="20"/>
        </w:rPr>
        <w:t>//</w:t>
      </w:r>
      <w:r w:rsidRPr="00FB7AAD">
        <w:rPr>
          <w:rFonts w:ascii="Calibri" w:hAnsi="Calibri" w:cs="Calibri"/>
          <w:sz w:val="20"/>
          <w:szCs w:val="20"/>
        </w:rPr>
        <w:t xml:space="preserve"> Lei Saraiva-Cotegipe.</w:t>
      </w:r>
    </w:p>
    <w:p w14:paraId="0C829DDF" w14:textId="77777777" w:rsidR="0044722A" w:rsidRPr="00FB7AAD" w:rsidRDefault="0044722A" w:rsidP="0044722A">
      <w:pPr>
        <w:numPr>
          <w:ilvl w:val="1"/>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João Alfredo substitui o Barão de Cotegipe (escravocrata): embora fosse conservador, a abolição era agora questão de dias.</w:t>
      </w:r>
    </w:p>
    <w:p w14:paraId="09EF2D30" w14:textId="77777777" w:rsidR="0044722A" w:rsidRPr="00FB7AAD" w:rsidRDefault="0044722A" w:rsidP="0044722A">
      <w:pPr>
        <w:numPr>
          <w:ilvl w:val="2"/>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Abolição sem indenização.</w:t>
      </w:r>
    </w:p>
    <w:p w14:paraId="37A52E41" w14:textId="77777777" w:rsidR="0044722A" w:rsidRPr="00FB7AAD" w:rsidRDefault="0044722A" w:rsidP="0044722A">
      <w:pPr>
        <w:numPr>
          <w:ilvl w:val="2"/>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13 de maio de 1888: Lei Áurea.</w:t>
      </w:r>
    </w:p>
    <w:p w14:paraId="56EC46B5" w14:textId="77777777" w:rsidR="0044722A" w:rsidRPr="00FB7AAD" w:rsidRDefault="0044722A" w:rsidP="0044722A">
      <w:pPr>
        <w:numPr>
          <w:ilvl w:val="3"/>
          <w:numId w:val="3"/>
        </w:numPr>
        <w:tabs>
          <w:tab w:val="left" w:pos="1733"/>
        </w:tabs>
        <w:spacing w:after="200"/>
        <w:ind w:hanging="357"/>
        <w:jc w:val="both"/>
        <w:rPr>
          <w:rFonts w:ascii="Calibri" w:hAnsi="Calibri" w:cs="Calibri"/>
          <w:sz w:val="20"/>
          <w:szCs w:val="20"/>
        </w:rPr>
      </w:pPr>
      <w:r w:rsidRPr="00FB7AAD">
        <w:rPr>
          <w:rFonts w:ascii="Calibri" w:hAnsi="Calibri" w:cs="Calibri"/>
          <w:sz w:val="20"/>
          <w:szCs w:val="20"/>
        </w:rPr>
        <w:t>Mera constatação dos fatos.</w:t>
      </w:r>
    </w:p>
    <w:p w14:paraId="41433475" w14:textId="2F012220" w:rsidR="00642ED2" w:rsidRDefault="00642ED2" w:rsidP="00642ED2">
      <w:pPr>
        <w:jc w:val="center"/>
        <w:rPr>
          <w:rFonts w:ascii="Calibri" w:hAnsi="Calibri" w:cs="Calibri"/>
          <w:sz w:val="20"/>
          <w:szCs w:val="20"/>
        </w:rPr>
      </w:pPr>
    </w:p>
    <w:p w14:paraId="5986E6E3" w14:textId="27547453" w:rsidR="001F0C7C" w:rsidRDefault="001F0C7C" w:rsidP="00642ED2">
      <w:pPr>
        <w:jc w:val="center"/>
        <w:rPr>
          <w:rFonts w:ascii="Calibri" w:hAnsi="Calibri" w:cs="Calibri"/>
          <w:sz w:val="20"/>
          <w:szCs w:val="20"/>
        </w:rPr>
      </w:pPr>
    </w:p>
    <w:p w14:paraId="6DFF502B" w14:textId="76B36E6A" w:rsidR="001F0C7C" w:rsidRDefault="001F0C7C" w:rsidP="00642ED2">
      <w:pPr>
        <w:jc w:val="center"/>
        <w:rPr>
          <w:rFonts w:ascii="Calibri" w:hAnsi="Calibri" w:cs="Calibri"/>
          <w:sz w:val="20"/>
          <w:szCs w:val="20"/>
        </w:rPr>
      </w:pPr>
    </w:p>
    <w:p w14:paraId="5C9FCED1" w14:textId="79CE20EF" w:rsidR="001F0C7C" w:rsidRDefault="001F0C7C" w:rsidP="00642ED2">
      <w:pPr>
        <w:jc w:val="center"/>
        <w:rPr>
          <w:rFonts w:ascii="Calibri" w:hAnsi="Calibri" w:cs="Calibri"/>
          <w:sz w:val="20"/>
          <w:szCs w:val="20"/>
        </w:rPr>
      </w:pPr>
    </w:p>
    <w:p w14:paraId="73D25813" w14:textId="77777777" w:rsidR="001F0C7C" w:rsidRDefault="001F0C7C" w:rsidP="00642ED2">
      <w:pPr>
        <w:jc w:val="center"/>
      </w:pPr>
    </w:p>
    <w:p w14:paraId="64E33BB4" w14:textId="7C764B11" w:rsidR="007F053E" w:rsidRDefault="007F053E" w:rsidP="00642ED2">
      <w:pPr>
        <w:jc w:val="center"/>
      </w:pPr>
    </w:p>
    <w:p w14:paraId="79811ACD" w14:textId="77777777" w:rsidR="007F053E" w:rsidRDefault="007F053E" w:rsidP="001F0C7C">
      <w:pPr>
        <w:pStyle w:val="Legenda"/>
        <w:keepNext/>
        <w:rPr>
          <w:color w:val="auto"/>
        </w:rPr>
      </w:pPr>
      <w:bookmarkStart w:id="1" w:name="_Ref15894397"/>
      <w:bookmarkStart w:id="2" w:name="_Ref15897130"/>
      <w:bookmarkStart w:id="3" w:name="_Toc34687048"/>
    </w:p>
    <w:bookmarkEnd w:id="1"/>
    <w:bookmarkEnd w:id="2"/>
    <w:bookmarkEnd w:id="3"/>
    <w:p w14:paraId="32A65400" w14:textId="33C7A02D" w:rsidR="007F053E" w:rsidRDefault="007F053E" w:rsidP="00642ED2">
      <w:pPr>
        <w:jc w:val="center"/>
      </w:pPr>
    </w:p>
    <w:p w14:paraId="0C58A934" w14:textId="405FF4FA" w:rsidR="007F053E" w:rsidRDefault="007F053E" w:rsidP="00642ED2">
      <w:pPr>
        <w:jc w:val="center"/>
      </w:pPr>
    </w:p>
    <w:p w14:paraId="3C45E06E" w14:textId="5FBFABFC" w:rsidR="007F053E" w:rsidRDefault="007F053E" w:rsidP="00642ED2">
      <w:pPr>
        <w:jc w:val="center"/>
      </w:pPr>
    </w:p>
    <w:p w14:paraId="7F2CAF2C" w14:textId="704918E7" w:rsidR="007F053E" w:rsidRDefault="007F053E" w:rsidP="00557759"/>
    <w:p w14:paraId="3F4D41BD" w14:textId="11DFD830" w:rsidR="007F053E" w:rsidRDefault="007F053E" w:rsidP="00642ED2">
      <w:pPr>
        <w:jc w:val="center"/>
      </w:pPr>
    </w:p>
    <w:p w14:paraId="5AB654F1" w14:textId="6FD5E0A6" w:rsidR="007F053E" w:rsidRPr="00611B36" w:rsidRDefault="007F053E" w:rsidP="007F053E">
      <w:pPr>
        <w:pStyle w:val="Legenda"/>
        <w:keepNext/>
        <w:jc w:val="center"/>
        <w:rPr>
          <w:color w:val="auto"/>
        </w:rPr>
      </w:pPr>
      <w:bookmarkStart w:id="4" w:name="_Ref15897272"/>
      <w:bookmarkStart w:id="5" w:name="_Toc34687049"/>
      <w:r w:rsidRPr="00611B36">
        <w:rPr>
          <w:color w:val="auto"/>
        </w:rPr>
        <w:t xml:space="preserve">Gráfico </w:t>
      </w:r>
      <w:r w:rsidR="001F0C7C">
        <w:rPr>
          <w:color w:val="auto"/>
        </w:rPr>
        <w:t>1</w:t>
      </w:r>
      <w:r w:rsidRPr="00611B36">
        <w:rPr>
          <w:color w:val="auto"/>
        </w:rPr>
        <w:t>: Saldo da carteira hipotecária rural do Banco do Brasil em contos de réis (1874-1888)</w:t>
      </w:r>
      <w:bookmarkEnd w:id="4"/>
      <w:bookmarkEnd w:id="5"/>
    </w:p>
    <w:p w14:paraId="1FE592D8" w14:textId="77777777" w:rsidR="007F053E" w:rsidRDefault="007F053E" w:rsidP="007F053E">
      <w:pPr>
        <w:spacing w:line="360" w:lineRule="auto"/>
        <w:jc w:val="center"/>
        <w:rPr>
          <w:sz w:val="22"/>
          <w:szCs w:val="22"/>
        </w:rPr>
      </w:pPr>
      <w:r>
        <w:rPr>
          <w:rFonts w:ascii="Cambria" w:hAnsi="Cambria"/>
          <w:noProof/>
          <w:sz w:val="22"/>
          <w:szCs w:val="22"/>
          <w:lang w:val="en-US"/>
        </w:rPr>
        <w:drawing>
          <wp:inline distT="0" distB="0" distL="0" distR="0" wp14:anchorId="24CEBA2B" wp14:editId="29C8D405">
            <wp:extent cx="5486400" cy="3200400"/>
            <wp:effectExtent l="0" t="0" r="12700" b="1270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53F3485" w14:textId="3BA2EFB5" w:rsidR="007F053E" w:rsidRDefault="007F053E" w:rsidP="007F053E">
      <w:pPr>
        <w:jc w:val="right"/>
        <w:rPr>
          <w:sz w:val="16"/>
          <w:szCs w:val="16"/>
        </w:rPr>
      </w:pPr>
      <w:r>
        <w:rPr>
          <w:sz w:val="16"/>
          <w:szCs w:val="16"/>
        </w:rPr>
        <w:t>F</w:t>
      </w:r>
      <w:r w:rsidRPr="003B61E4">
        <w:rPr>
          <w:sz w:val="16"/>
          <w:szCs w:val="16"/>
        </w:rPr>
        <w:t xml:space="preserve">onte: </w:t>
      </w:r>
      <w:r>
        <w:rPr>
          <w:sz w:val="16"/>
          <w:szCs w:val="16"/>
        </w:rPr>
        <w:t>Relatórios do Banco do Brasil (1874-1888) e Relatórios do Ministério da Fazenda (1874-1888)</w:t>
      </w:r>
    </w:p>
    <w:p w14:paraId="74D2CCD1" w14:textId="56085480" w:rsidR="006340AA" w:rsidRDefault="006340AA" w:rsidP="007F053E">
      <w:pPr>
        <w:jc w:val="right"/>
        <w:rPr>
          <w:sz w:val="16"/>
          <w:szCs w:val="16"/>
        </w:rPr>
      </w:pPr>
    </w:p>
    <w:p w14:paraId="189EA5F8" w14:textId="31A987B5" w:rsidR="006340AA" w:rsidRDefault="006340AA" w:rsidP="007F053E">
      <w:pPr>
        <w:jc w:val="right"/>
        <w:rPr>
          <w:sz w:val="16"/>
          <w:szCs w:val="16"/>
        </w:rPr>
      </w:pPr>
    </w:p>
    <w:p w14:paraId="4FC7F0A9" w14:textId="44686F4B" w:rsidR="00A2258C" w:rsidRDefault="00A2258C" w:rsidP="007F053E">
      <w:pPr>
        <w:jc w:val="right"/>
        <w:rPr>
          <w:sz w:val="16"/>
          <w:szCs w:val="16"/>
        </w:rPr>
      </w:pPr>
    </w:p>
    <w:p w14:paraId="7582594C" w14:textId="24A8BCA3" w:rsidR="00A2258C" w:rsidRDefault="00A2258C" w:rsidP="007F053E">
      <w:pPr>
        <w:jc w:val="right"/>
        <w:rPr>
          <w:sz w:val="16"/>
          <w:szCs w:val="16"/>
        </w:rPr>
      </w:pPr>
    </w:p>
    <w:p w14:paraId="78596EC9" w14:textId="19FC105B" w:rsidR="00A2258C" w:rsidRDefault="00A2258C" w:rsidP="007F053E">
      <w:pPr>
        <w:jc w:val="right"/>
        <w:rPr>
          <w:sz w:val="16"/>
          <w:szCs w:val="16"/>
        </w:rPr>
      </w:pPr>
    </w:p>
    <w:p w14:paraId="760C25EF" w14:textId="4B18287A" w:rsidR="00A2258C" w:rsidRDefault="00A2258C" w:rsidP="007F053E">
      <w:pPr>
        <w:jc w:val="right"/>
        <w:rPr>
          <w:sz w:val="16"/>
          <w:szCs w:val="16"/>
        </w:rPr>
      </w:pPr>
    </w:p>
    <w:p w14:paraId="78D5A476" w14:textId="37134265" w:rsidR="00A2258C" w:rsidRDefault="00A2258C" w:rsidP="007F053E">
      <w:pPr>
        <w:jc w:val="right"/>
        <w:rPr>
          <w:sz w:val="16"/>
          <w:szCs w:val="16"/>
        </w:rPr>
      </w:pPr>
    </w:p>
    <w:p w14:paraId="78E6FC86" w14:textId="507286BB" w:rsidR="00A2258C" w:rsidRDefault="00A2258C" w:rsidP="007F053E">
      <w:pPr>
        <w:jc w:val="right"/>
        <w:rPr>
          <w:sz w:val="16"/>
          <w:szCs w:val="16"/>
        </w:rPr>
      </w:pPr>
    </w:p>
    <w:p w14:paraId="54A79D0F" w14:textId="3D411C38" w:rsidR="00A2258C" w:rsidRDefault="00A2258C" w:rsidP="007F053E">
      <w:pPr>
        <w:jc w:val="right"/>
        <w:rPr>
          <w:sz w:val="16"/>
          <w:szCs w:val="16"/>
        </w:rPr>
      </w:pPr>
    </w:p>
    <w:p w14:paraId="05E46D09" w14:textId="273799D5" w:rsidR="00A2258C" w:rsidRDefault="00A2258C" w:rsidP="007F053E">
      <w:pPr>
        <w:jc w:val="right"/>
        <w:rPr>
          <w:sz w:val="16"/>
          <w:szCs w:val="16"/>
        </w:rPr>
      </w:pPr>
    </w:p>
    <w:p w14:paraId="1B1556A0" w14:textId="1CA8EE3A" w:rsidR="00A2258C" w:rsidRDefault="00A2258C" w:rsidP="007F053E">
      <w:pPr>
        <w:jc w:val="right"/>
        <w:rPr>
          <w:sz w:val="16"/>
          <w:szCs w:val="16"/>
        </w:rPr>
      </w:pPr>
    </w:p>
    <w:p w14:paraId="17C7E018" w14:textId="69ECB4F5" w:rsidR="00A2258C" w:rsidRDefault="00A2258C" w:rsidP="007F053E">
      <w:pPr>
        <w:jc w:val="right"/>
        <w:rPr>
          <w:sz w:val="16"/>
          <w:szCs w:val="16"/>
        </w:rPr>
      </w:pPr>
    </w:p>
    <w:p w14:paraId="38E71CB5" w14:textId="15450F58" w:rsidR="00A2258C" w:rsidRDefault="00A2258C" w:rsidP="007F053E">
      <w:pPr>
        <w:jc w:val="right"/>
        <w:rPr>
          <w:sz w:val="16"/>
          <w:szCs w:val="16"/>
        </w:rPr>
      </w:pPr>
    </w:p>
    <w:p w14:paraId="156A504E" w14:textId="2A976FB1" w:rsidR="00A2258C" w:rsidRDefault="00A2258C" w:rsidP="007F053E">
      <w:pPr>
        <w:jc w:val="right"/>
        <w:rPr>
          <w:sz w:val="16"/>
          <w:szCs w:val="16"/>
        </w:rPr>
      </w:pPr>
    </w:p>
    <w:p w14:paraId="0EA4AB5A" w14:textId="5E4E4B33" w:rsidR="00A2258C" w:rsidRDefault="00A2258C" w:rsidP="007F053E">
      <w:pPr>
        <w:jc w:val="right"/>
        <w:rPr>
          <w:sz w:val="16"/>
          <w:szCs w:val="16"/>
        </w:rPr>
      </w:pPr>
    </w:p>
    <w:p w14:paraId="7CA7C382" w14:textId="77777777" w:rsidR="00A2258C" w:rsidRDefault="00A2258C" w:rsidP="007F053E">
      <w:pPr>
        <w:jc w:val="right"/>
        <w:rPr>
          <w:sz w:val="16"/>
          <w:szCs w:val="16"/>
        </w:rPr>
      </w:pPr>
    </w:p>
    <w:p w14:paraId="71E76EC9" w14:textId="569216A5" w:rsidR="006340AA" w:rsidRDefault="006340AA" w:rsidP="007F053E">
      <w:pPr>
        <w:jc w:val="right"/>
        <w:rPr>
          <w:sz w:val="16"/>
          <w:szCs w:val="16"/>
        </w:rPr>
      </w:pPr>
    </w:p>
    <w:p w14:paraId="3D7B9B12" w14:textId="638B30F5" w:rsidR="006340AA" w:rsidRDefault="00A2258C" w:rsidP="007F053E">
      <w:pPr>
        <w:jc w:val="right"/>
        <w:rPr>
          <w:sz w:val="16"/>
          <w:szCs w:val="16"/>
        </w:rPr>
      </w:pPr>
      <w:r>
        <w:rPr>
          <w:noProof/>
          <w:sz w:val="16"/>
          <w:szCs w:val="16"/>
        </w:rPr>
        <w:lastRenderedPageBreak/>
        <w:drawing>
          <wp:inline distT="0" distB="0" distL="0" distR="0" wp14:anchorId="6DE22182" wp14:editId="7C4657F7">
            <wp:extent cx="5400040" cy="35960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a:extLst>
                        <a:ext uri="{28A0092B-C50C-407E-A947-70E740481C1C}">
                          <a14:useLocalDpi xmlns:a14="http://schemas.microsoft.com/office/drawing/2010/main" val="0"/>
                        </a:ext>
                      </a:extLst>
                    </a:blip>
                    <a:stretch>
                      <a:fillRect/>
                    </a:stretch>
                  </pic:blipFill>
                  <pic:spPr>
                    <a:xfrm>
                      <a:off x="0" y="0"/>
                      <a:ext cx="5400040" cy="3596005"/>
                    </a:xfrm>
                    <a:prstGeom prst="rect">
                      <a:avLst/>
                    </a:prstGeom>
                  </pic:spPr>
                </pic:pic>
              </a:graphicData>
            </a:graphic>
          </wp:inline>
        </w:drawing>
      </w:r>
    </w:p>
    <w:p w14:paraId="6CCDF558" w14:textId="344A2DA7" w:rsidR="006340AA" w:rsidRDefault="006340AA" w:rsidP="007F053E">
      <w:pPr>
        <w:jc w:val="right"/>
        <w:rPr>
          <w:sz w:val="16"/>
          <w:szCs w:val="16"/>
        </w:rPr>
      </w:pPr>
    </w:p>
    <w:p w14:paraId="1CC61CBD" w14:textId="7749338E" w:rsidR="006340AA" w:rsidRDefault="006340AA" w:rsidP="007F053E">
      <w:pPr>
        <w:jc w:val="right"/>
        <w:rPr>
          <w:sz w:val="16"/>
          <w:szCs w:val="16"/>
        </w:rPr>
      </w:pPr>
    </w:p>
    <w:p w14:paraId="21A71AF4" w14:textId="77777777" w:rsidR="006340AA" w:rsidRPr="003C20D4" w:rsidRDefault="006340AA" w:rsidP="006340AA">
      <w:pPr>
        <w:pStyle w:val="Legenda"/>
        <w:keepNext/>
        <w:jc w:val="center"/>
        <w:rPr>
          <w:color w:val="auto"/>
        </w:rPr>
      </w:pPr>
      <w:bookmarkStart w:id="6" w:name="_Ref14361489"/>
      <w:bookmarkStart w:id="7" w:name="_Ref34657997"/>
      <w:bookmarkStart w:id="8" w:name="_Toc34687046"/>
      <w:r w:rsidRPr="003C20D4">
        <w:rPr>
          <w:color w:val="auto"/>
        </w:rPr>
        <w:t xml:space="preserve">Gráfico </w:t>
      </w:r>
      <w:r w:rsidRPr="003C20D4">
        <w:rPr>
          <w:color w:val="auto"/>
        </w:rPr>
        <w:fldChar w:fldCharType="begin"/>
      </w:r>
      <w:r w:rsidRPr="003C20D4">
        <w:rPr>
          <w:color w:val="auto"/>
        </w:rPr>
        <w:instrText xml:space="preserve"> SEQ Gráfico \* ARABIC </w:instrText>
      </w:r>
      <w:r w:rsidRPr="003C20D4">
        <w:rPr>
          <w:color w:val="auto"/>
        </w:rPr>
        <w:fldChar w:fldCharType="separate"/>
      </w:r>
      <w:r>
        <w:rPr>
          <w:noProof/>
          <w:color w:val="auto"/>
        </w:rPr>
        <w:t>2</w:t>
      </w:r>
      <w:r w:rsidRPr="003C20D4">
        <w:rPr>
          <w:color w:val="auto"/>
        </w:rPr>
        <w:fldChar w:fldCharType="end"/>
      </w:r>
      <w:r w:rsidRPr="003C20D4">
        <w:rPr>
          <w:color w:val="auto"/>
        </w:rPr>
        <w:t>: Evolução dos ativos do Banco do Brasil em contos de réis</w:t>
      </w:r>
      <w:bookmarkEnd w:id="6"/>
      <w:r>
        <w:rPr>
          <w:color w:val="auto"/>
        </w:rPr>
        <w:t>, 1860-1890</w:t>
      </w:r>
      <w:bookmarkEnd w:id="7"/>
      <w:bookmarkEnd w:id="8"/>
    </w:p>
    <w:p w14:paraId="22C1D032" w14:textId="77777777" w:rsidR="006340AA" w:rsidRDefault="006340AA" w:rsidP="006340AA">
      <w:pPr>
        <w:spacing w:line="360" w:lineRule="auto"/>
        <w:ind w:firstLine="567"/>
        <w:rPr>
          <w:sz w:val="21"/>
          <w:szCs w:val="21"/>
        </w:rPr>
      </w:pPr>
      <w:r>
        <w:rPr>
          <w:rFonts w:ascii="Cambria" w:hAnsi="Cambria"/>
          <w:noProof/>
          <w:sz w:val="22"/>
          <w:szCs w:val="22"/>
          <w:lang w:val="en-US"/>
        </w:rPr>
        <w:drawing>
          <wp:inline distT="0" distB="0" distL="0" distR="0" wp14:anchorId="017AA262" wp14:editId="58B440C0">
            <wp:extent cx="4798337" cy="2960484"/>
            <wp:effectExtent l="0" t="0" r="15240" b="1143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5CC192" w14:textId="77777777" w:rsidR="006340AA" w:rsidRPr="00F134DF" w:rsidRDefault="006340AA" w:rsidP="006340AA">
      <w:pPr>
        <w:ind w:firstLine="720"/>
        <w:jc w:val="right"/>
        <w:rPr>
          <w:sz w:val="16"/>
          <w:szCs w:val="16"/>
        </w:rPr>
      </w:pPr>
      <w:r w:rsidRPr="003B61E4">
        <w:rPr>
          <w:sz w:val="16"/>
          <w:szCs w:val="16"/>
        </w:rPr>
        <w:t xml:space="preserve">Fonte: </w:t>
      </w:r>
      <w:r>
        <w:rPr>
          <w:sz w:val="16"/>
          <w:szCs w:val="16"/>
        </w:rPr>
        <w:t xml:space="preserve">Relatórios do Ministério da Fazenda (1860-1890); </w:t>
      </w:r>
      <w:proofErr w:type="spellStart"/>
      <w:r>
        <w:rPr>
          <w:sz w:val="16"/>
          <w:szCs w:val="16"/>
        </w:rPr>
        <w:t>Almanak</w:t>
      </w:r>
      <w:proofErr w:type="spellEnd"/>
      <w:r>
        <w:rPr>
          <w:sz w:val="16"/>
          <w:szCs w:val="16"/>
        </w:rPr>
        <w:t xml:space="preserve"> </w:t>
      </w:r>
      <w:proofErr w:type="spellStart"/>
      <w:r>
        <w:rPr>
          <w:sz w:val="16"/>
          <w:szCs w:val="16"/>
        </w:rPr>
        <w:t>Laemmert</w:t>
      </w:r>
      <w:proofErr w:type="spellEnd"/>
      <w:r>
        <w:rPr>
          <w:sz w:val="16"/>
          <w:szCs w:val="16"/>
        </w:rPr>
        <w:t xml:space="preserve"> (1860-1890); Jornal do Comércio.</w:t>
      </w:r>
    </w:p>
    <w:p w14:paraId="4E4BD7EE" w14:textId="4EA79D5A" w:rsidR="006340AA" w:rsidRDefault="006340AA" w:rsidP="007F053E">
      <w:pPr>
        <w:jc w:val="right"/>
        <w:rPr>
          <w:sz w:val="16"/>
          <w:szCs w:val="16"/>
        </w:rPr>
      </w:pPr>
    </w:p>
    <w:p w14:paraId="0F4C6203" w14:textId="0058B82E" w:rsidR="006340AA" w:rsidRDefault="006340AA" w:rsidP="007F053E">
      <w:pPr>
        <w:jc w:val="right"/>
        <w:rPr>
          <w:sz w:val="16"/>
          <w:szCs w:val="16"/>
        </w:rPr>
      </w:pPr>
    </w:p>
    <w:p w14:paraId="669E5AD5" w14:textId="640F77F8" w:rsidR="006340AA" w:rsidRDefault="006340AA" w:rsidP="007F053E">
      <w:pPr>
        <w:jc w:val="right"/>
        <w:rPr>
          <w:sz w:val="16"/>
          <w:szCs w:val="16"/>
        </w:rPr>
      </w:pPr>
    </w:p>
    <w:p w14:paraId="407A3E1C" w14:textId="2CAD89EC" w:rsidR="006340AA" w:rsidRDefault="006340AA" w:rsidP="007F053E">
      <w:pPr>
        <w:jc w:val="right"/>
        <w:rPr>
          <w:sz w:val="16"/>
          <w:szCs w:val="16"/>
        </w:rPr>
      </w:pPr>
    </w:p>
    <w:p w14:paraId="1890DCBB" w14:textId="0870BC0B" w:rsidR="006340AA" w:rsidRDefault="006340AA" w:rsidP="007F053E">
      <w:pPr>
        <w:jc w:val="right"/>
        <w:rPr>
          <w:sz w:val="16"/>
          <w:szCs w:val="16"/>
        </w:rPr>
      </w:pPr>
    </w:p>
    <w:p w14:paraId="67EA97C2" w14:textId="2DCCDC4C" w:rsidR="006340AA" w:rsidRDefault="006340AA" w:rsidP="007F053E">
      <w:pPr>
        <w:jc w:val="right"/>
        <w:rPr>
          <w:sz w:val="16"/>
          <w:szCs w:val="16"/>
        </w:rPr>
      </w:pPr>
    </w:p>
    <w:p w14:paraId="272C1BE3" w14:textId="6236A9DB" w:rsidR="006340AA" w:rsidRDefault="006340AA" w:rsidP="007F053E">
      <w:pPr>
        <w:jc w:val="right"/>
        <w:rPr>
          <w:sz w:val="16"/>
          <w:szCs w:val="16"/>
        </w:rPr>
      </w:pPr>
    </w:p>
    <w:p w14:paraId="661F20F4" w14:textId="77777777" w:rsidR="006340AA" w:rsidRPr="00410FE5" w:rsidRDefault="006340AA" w:rsidP="007F053E">
      <w:pPr>
        <w:jc w:val="right"/>
        <w:rPr>
          <w:sz w:val="22"/>
          <w:szCs w:val="22"/>
        </w:rPr>
      </w:pPr>
    </w:p>
    <w:p w14:paraId="53756BD3" w14:textId="1519A336" w:rsidR="007F053E" w:rsidRDefault="007F053E" w:rsidP="00642ED2">
      <w:pPr>
        <w:jc w:val="center"/>
      </w:pPr>
    </w:p>
    <w:p w14:paraId="23FB9B99" w14:textId="54FAFC03" w:rsidR="007F053E" w:rsidRPr="001814B2" w:rsidRDefault="007F053E" w:rsidP="007F053E">
      <w:pPr>
        <w:pStyle w:val="Legenda"/>
        <w:keepNext/>
        <w:jc w:val="center"/>
        <w:rPr>
          <w:color w:val="auto"/>
        </w:rPr>
      </w:pPr>
      <w:bookmarkStart w:id="9" w:name="_Ref16498078"/>
      <w:bookmarkStart w:id="10" w:name="_Toc34687050"/>
      <w:r w:rsidRPr="001814B2">
        <w:rPr>
          <w:color w:val="auto"/>
        </w:rPr>
        <w:lastRenderedPageBreak/>
        <w:t xml:space="preserve">Gráfico </w:t>
      </w:r>
      <w:r w:rsidR="006340AA">
        <w:rPr>
          <w:color w:val="auto"/>
        </w:rPr>
        <w:t>2</w:t>
      </w:r>
      <w:r w:rsidRPr="001814B2">
        <w:rPr>
          <w:color w:val="auto"/>
        </w:rPr>
        <w:t xml:space="preserve">: Evolução do capital </w:t>
      </w:r>
      <w:r>
        <w:rPr>
          <w:color w:val="auto"/>
        </w:rPr>
        <w:t>produtivo exportado</w:t>
      </w:r>
      <w:r w:rsidRPr="001814B2">
        <w:rPr>
          <w:color w:val="auto"/>
        </w:rPr>
        <w:t xml:space="preserve"> e</w:t>
      </w:r>
      <w:r>
        <w:rPr>
          <w:color w:val="auto"/>
        </w:rPr>
        <w:t xml:space="preserve"> do capital financeiro bancário, no Rio de Janeiro e em São Paulo,</w:t>
      </w:r>
      <w:r w:rsidRPr="001814B2">
        <w:rPr>
          <w:color w:val="auto"/>
        </w:rPr>
        <w:t xml:space="preserve"> em contos de réis (1860-1889)</w:t>
      </w:r>
      <w:bookmarkEnd w:id="9"/>
      <w:bookmarkEnd w:id="10"/>
    </w:p>
    <w:p w14:paraId="068D0A49" w14:textId="77777777" w:rsidR="007F053E" w:rsidRPr="00B220FB" w:rsidRDefault="007F053E" w:rsidP="007F053E">
      <w:pPr>
        <w:jc w:val="center"/>
        <w:rPr>
          <w:sz w:val="22"/>
          <w:szCs w:val="22"/>
        </w:rPr>
      </w:pPr>
      <w:r>
        <w:rPr>
          <w:noProof/>
          <w:sz w:val="22"/>
          <w:szCs w:val="22"/>
          <w:lang w:val="en-US"/>
        </w:rPr>
        <w:drawing>
          <wp:inline distT="0" distB="0" distL="0" distR="0" wp14:anchorId="252C4AF0" wp14:editId="2F43A6F7">
            <wp:extent cx="5486400" cy="3200400"/>
            <wp:effectExtent l="0" t="0" r="12700" b="1270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D053DB" w14:textId="77777777" w:rsidR="007F053E" w:rsidRPr="00B220FB" w:rsidRDefault="007F053E" w:rsidP="007F053E">
      <w:pPr>
        <w:rPr>
          <w:sz w:val="22"/>
          <w:szCs w:val="22"/>
        </w:rPr>
      </w:pPr>
    </w:p>
    <w:p w14:paraId="322DE162" w14:textId="1845BFBE" w:rsidR="007F053E" w:rsidRDefault="007F053E" w:rsidP="007F053E">
      <w:pPr>
        <w:jc w:val="both"/>
        <w:rPr>
          <w:sz w:val="16"/>
          <w:szCs w:val="16"/>
        </w:rPr>
      </w:pPr>
      <w:r>
        <w:rPr>
          <w:sz w:val="16"/>
          <w:szCs w:val="16"/>
        </w:rPr>
        <w:t>F</w:t>
      </w:r>
      <w:r w:rsidRPr="003B61E4">
        <w:rPr>
          <w:sz w:val="16"/>
          <w:szCs w:val="16"/>
        </w:rPr>
        <w:t xml:space="preserve">onte: </w:t>
      </w:r>
      <w:r>
        <w:rPr>
          <w:sz w:val="16"/>
          <w:szCs w:val="16"/>
        </w:rPr>
        <w:t xml:space="preserve">Relatórios do Ministério da Fazenda (1850 a 1890) e </w:t>
      </w:r>
      <w:r>
        <w:rPr>
          <w:i/>
          <w:sz w:val="16"/>
          <w:szCs w:val="16"/>
        </w:rPr>
        <w:t xml:space="preserve">Jornal do Comércio </w:t>
      </w:r>
      <w:r>
        <w:rPr>
          <w:sz w:val="16"/>
          <w:szCs w:val="16"/>
        </w:rPr>
        <w:t xml:space="preserve">(retrospectos comerciais 1860 a 1890). Para o valor do capital bancário do Rio de Janeiro, ver: </w:t>
      </w:r>
      <w:r w:rsidRPr="00C3585E">
        <w:rPr>
          <w:sz w:val="16"/>
          <w:szCs w:val="16"/>
        </w:rPr>
        <w:t>SUMMERHILL, William R</w:t>
      </w:r>
      <w:r w:rsidRPr="006C76CD">
        <w:rPr>
          <w:sz w:val="16"/>
          <w:szCs w:val="16"/>
        </w:rPr>
        <w:t xml:space="preserve">. </w:t>
      </w:r>
      <w:proofErr w:type="spellStart"/>
      <w:r w:rsidRPr="006C76CD">
        <w:rPr>
          <w:sz w:val="16"/>
          <w:szCs w:val="16"/>
        </w:rPr>
        <w:t>Inglorious</w:t>
      </w:r>
      <w:proofErr w:type="spellEnd"/>
      <w:r w:rsidRPr="006C76CD">
        <w:rPr>
          <w:sz w:val="16"/>
          <w:szCs w:val="16"/>
        </w:rPr>
        <w:t xml:space="preserve"> </w:t>
      </w:r>
      <w:proofErr w:type="spellStart"/>
      <w:r w:rsidRPr="006C76CD">
        <w:rPr>
          <w:sz w:val="16"/>
          <w:szCs w:val="16"/>
        </w:rPr>
        <w:t>Revolution</w:t>
      </w:r>
      <w:proofErr w:type="spellEnd"/>
      <w:r w:rsidRPr="006C76CD">
        <w:rPr>
          <w:sz w:val="16"/>
          <w:szCs w:val="16"/>
        </w:rPr>
        <w:t xml:space="preserve">. </w:t>
      </w:r>
      <w:r w:rsidRPr="001814B2">
        <w:rPr>
          <w:sz w:val="16"/>
          <w:szCs w:val="16"/>
          <w:lang w:val="en-US"/>
        </w:rPr>
        <w:t>Political</w:t>
      </w:r>
      <w:r w:rsidRPr="002659B6">
        <w:rPr>
          <w:sz w:val="16"/>
          <w:szCs w:val="16"/>
          <w:lang w:val="en-US"/>
        </w:rPr>
        <w:t xml:space="preserve"> Institutions, Sovereign Debt, and Financial Underdevelopment in Imperial Brazil. </w:t>
      </w:r>
      <w:r w:rsidRPr="001814B2">
        <w:rPr>
          <w:sz w:val="16"/>
          <w:szCs w:val="16"/>
          <w:lang w:val="en-US"/>
        </w:rPr>
        <w:t xml:space="preserve">New Haven and London: Yale University Press, 2015; para </w:t>
      </w:r>
      <w:r w:rsidRPr="006C76CD">
        <w:rPr>
          <w:sz w:val="16"/>
          <w:szCs w:val="16"/>
          <w:lang w:val="en-US"/>
        </w:rPr>
        <w:t>o capital</w:t>
      </w:r>
      <w:r>
        <w:rPr>
          <w:sz w:val="16"/>
          <w:szCs w:val="16"/>
          <w:lang w:val="en-US"/>
        </w:rPr>
        <w:t xml:space="preserve"> </w:t>
      </w:r>
      <w:proofErr w:type="spellStart"/>
      <w:r>
        <w:rPr>
          <w:sz w:val="16"/>
          <w:szCs w:val="16"/>
          <w:lang w:val="en-US"/>
        </w:rPr>
        <w:t>bancário</w:t>
      </w:r>
      <w:proofErr w:type="spellEnd"/>
      <w:r w:rsidRPr="001814B2">
        <w:rPr>
          <w:sz w:val="16"/>
          <w:szCs w:val="16"/>
          <w:lang w:val="en-US"/>
        </w:rPr>
        <w:t xml:space="preserve"> de São Paulo, </w:t>
      </w:r>
      <w:proofErr w:type="spellStart"/>
      <w:r w:rsidRPr="001814B2">
        <w:rPr>
          <w:sz w:val="16"/>
          <w:szCs w:val="16"/>
          <w:lang w:val="en-US"/>
        </w:rPr>
        <w:t>ver</w:t>
      </w:r>
      <w:proofErr w:type="spellEnd"/>
      <w:r w:rsidRPr="001814B2">
        <w:rPr>
          <w:sz w:val="16"/>
          <w:szCs w:val="16"/>
          <w:lang w:val="en-US"/>
        </w:rPr>
        <w:t>: HANLEY, Anne G. Native Capital: Financial Institutions and Economic Development in São Paulo, Brazil, 1850-1920.</w:t>
      </w:r>
      <w:r>
        <w:rPr>
          <w:sz w:val="16"/>
          <w:szCs w:val="16"/>
          <w:lang w:val="en-US"/>
        </w:rPr>
        <w:t xml:space="preserve"> </w:t>
      </w:r>
      <w:r w:rsidRPr="001814B2">
        <w:rPr>
          <w:sz w:val="16"/>
          <w:szCs w:val="16"/>
        </w:rPr>
        <w:t>Stanford:</w:t>
      </w:r>
      <w:r>
        <w:rPr>
          <w:sz w:val="16"/>
          <w:szCs w:val="16"/>
        </w:rPr>
        <w:t xml:space="preserve"> Stanford </w:t>
      </w:r>
      <w:proofErr w:type="spellStart"/>
      <w:r>
        <w:rPr>
          <w:sz w:val="16"/>
          <w:szCs w:val="16"/>
        </w:rPr>
        <w:t>University</w:t>
      </w:r>
      <w:proofErr w:type="spellEnd"/>
      <w:r>
        <w:rPr>
          <w:sz w:val="16"/>
          <w:szCs w:val="16"/>
        </w:rPr>
        <w:t xml:space="preserve"> Press, 2005.</w:t>
      </w:r>
      <w:r w:rsidRPr="001814B2">
        <w:rPr>
          <w:sz w:val="16"/>
          <w:szCs w:val="16"/>
        </w:rPr>
        <w:t xml:space="preserve"> </w:t>
      </w:r>
      <w:r>
        <w:rPr>
          <w:sz w:val="16"/>
          <w:szCs w:val="16"/>
        </w:rPr>
        <w:t>As indicações referentes ao capital produtivo representam o valor das mercadorias exportadas pelos portos do Rio de Janeiro e de Santos.</w:t>
      </w:r>
    </w:p>
    <w:p w14:paraId="46D9A47B" w14:textId="2687CEF6" w:rsidR="000A46B2" w:rsidRDefault="000A46B2" w:rsidP="007F053E">
      <w:pPr>
        <w:jc w:val="both"/>
        <w:rPr>
          <w:sz w:val="16"/>
          <w:szCs w:val="16"/>
        </w:rPr>
      </w:pPr>
    </w:p>
    <w:p w14:paraId="431B89C2" w14:textId="1280C1E1" w:rsidR="000A46B2" w:rsidRDefault="000A46B2" w:rsidP="007F053E">
      <w:pPr>
        <w:jc w:val="both"/>
        <w:rPr>
          <w:sz w:val="16"/>
          <w:szCs w:val="16"/>
        </w:rPr>
      </w:pPr>
    </w:p>
    <w:p w14:paraId="709A8584" w14:textId="7300FC4E" w:rsidR="000A46B2" w:rsidRDefault="000A46B2" w:rsidP="007F053E">
      <w:pPr>
        <w:jc w:val="both"/>
        <w:rPr>
          <w:sz w:val="16"/>
          <w:szCs w:val="16"/>
        </w:rPr>
      </w:pPr>
    </w:p>
    <w:p w14:paraId="07DC3726" w14:textId="263C5531" w:rsidR="000A46B2" w:rsidRDefault="000A46B2" w:rsidP="007F053E">
      <w:pPr>
        <w:jc w:val="both"/>
        <w:rPr>
          <w:sz w:val="16"/>
          <w:szCs w:val="16"/>
        </w:rPr>
      </w:pPr>
    </w:p>
    <w:p w14:paraId="739D0EF7" w14:textId="6B541596" w:rsidR="000A46B2" w:rsidRDefault="000A46B2" w:rsidP="007F053E">
      <w:pPr>
        <w:jc w:val="both"/>
        <w:rPr>
          <w:sz w:val="16"/>
          <w:szCs w:val="16"/>
        </w:rPr>
      </w:pPr>
    </w:p>
    <w:p w14:paraId="13CCFF13" w14:textId="77777777" w:rsidR="000A46B2" w:rsidRPr="001814B2" w:rsidRDefault="000A46B2" w:rsidP="007F053E">
      <w:pPr>
        <w:jc w:val="both"/>
        <w:rPr>
          <w:sz w:val="16"/>
          <w:szCs w:val="16"/>
        </w:rPr>
      </w:pPr>
    </w:p>
    <w:p w14:paraId="13970731" w14:textId="2195B944" w:rsidR="007F053E" w:rsidRPr="00642ED2" w:rsidRDefault="000A46B2" w:rsidP="00642ED2">
      <w:pPr>
        <w:jc w:val="center"/>
      </w:pPr>
      <w:r>
        <w:rPr>
          <w:noProof/>
        </w:rPr>
        <w:drawing>
          <wp:inline distT="0" distB="0" distL="0" distR="0" wp14:anchorId="07F13B80" wp14:editId="05CCAE42">
            <wp:extent cx="5400040" cy="353949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0">
                      <a:extLst>
                        <a:ext uri="{28A0092B-C50C-407E-A947-70E740481C1C}">
                          <a14:useLocalDpi xmlns:a14="http://schemas.microsoft.com/office/drawing/2010/main" val="0"/>
                        </a:ext>
                      </a:extLst>
                    </a:blip>
                    <a:stretch>
                      <a:fillRect/>
                    </a:stretch>
                  </pic:blipFill>
                  <pic:spPr>
                    <a:xfrm>
                      <a:off x="0" y="0"/>
                      <a:ext cx="5400040" cy="3539490"/>
                    </a:xfrm>
                    <a:prstGeom prst="rect">
                      <a:avLst/>
                    </a:prstGeom>
                  </pic:spPr>
                </pic:pic>
              </a:graphicData>
            </a:graphic>
          </wp:inline>
        </w:drawing>
      </w:r>
    </w:p>
    <w:sectPr w:rsidR="007F053E" w:rsidRPr="00642E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746"/>
    <w:multiLevelType w:val="hybridMultilevel"/>
    <w:tmpl w:val="FA1EDD66"/>
    <w:lvl w:ilvl="0" w:tplc="0416000F">
      <w:start w:val="1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8134910"/>
    <w:multiLevelType w:val="hybridMultilevel"/>
    <w:tmpl w:val="71B8FE2E"/>
    <w:lvl w:ilvl="0" w:tplc="D11C9EFA">
      <w:start w:val="1"/>
      <w:numFmt w:val="bullet"/>
      <w:lvlText w:val="–"/>
      <w:lvlJc w:val="left"/>
      <w:pPr>
        <w:tabs>
          <w:tab w:val="num" w:pos="720"/>
        </w:tabs>
        <w:ind w:left="720" w:hanging="360"/>
      </w:pPr>
      <w:rPr>
        <w:rFonts w:ascii="Arial" w:hAnsi="Arial" w:hint="default"/>
      </w:rPr>
    </w:lvl>
    <w:lvl w:ilvl="1" w:tplc="55E806D2">
      <w:start w:val="1"/>
      <w:numFmt w:val="bullet"/>
      <w:lvlText w:val="–"/>
      <w:lvlJc w:val="left"/>
      <w:pPr>
        <w:tabs>
          <w:tab w:val="num" w:pos="1440"/>
        </w:tabs>
        <w:ind w:left="1440" w:hanging="360"/>
      </w:pPr>
      <w:rPr>
        <w:rFonts w:ascii="Arial" w:hAnsi="Arial" w:hint="default"/>
      </w:rPr>
    </w:lvl>
    <w:lvl w:ilvl="2" w:tplc="E2487608">
      <w:numFmt w:val="bullet"/>
      <w:lvlText w:val="•"/>
      <w:lvlJc w:val="left"/>
      <w:pPr>
        <w:tabs>
          <w:tab w:val="num" w:pos="2160"/>
        </w:tabs>
        <w:ind w:left="2160" w:hanging="360"/>
      </w:pPr>
      <w:rPr>
        <w:rFonts w:ascii="Arial" w:hAnsi="Arial" w:hint="default"/>
      </w:rPr>
    </w:lvl>
    <w:lvl w:ilvl="3" w:tplc="9578CBFC">
      <w:numFmt w:val="bullet"/>
      <w:lvlText w:val="–"/>
      <w:lvlJc w:val="left"/>
      <w:pPr>
        <w:tabs>
          <w:tab w:val="num" w:pos="2880"/>
        </w:tabs>
        <w:ind w:left="2880" w:hanging="360"/>
      </w:pPr>
      <w:rPr>
        <w:rFonts w:ascii="Arial" w:hAnsi="Arial" w:hint="default"/>
      </w:rPr>
    </w:lvl>
    <w:lvl w:ilvl="4" w:tplc="15BC2EDC">
      <w:numFmt w:val="bullet"/>
      <w:lvlText w:val="»"/>
      <w:lvlJc w:val="left"/>
      <w:pPr>
        <w:tabs>
          <w:tab w:val="num" w:pos="3600"/>
        </w:tabs>
        <w:ind w:left="3600" w:hanging="360"/>
      </w:pPr>
      <w:rPr>
        <w:rFonts w:ascii="Arial" w:hAnsi="Arial" w:hint="default"/>
      </w:rPr>
    </w:lvl>
    <w:lvl w:ilvl="5" w:tplc="15F6E686">
      <w:numFmt w:val="bullet"/>
      <w:lvlText w:val="•"/>
      <w:lvlJc w:val="left"/>
      <w:pPr>
        <w:tabs>
          <w:tab w:val="num" w:pos="4320"/>
        </w:tabs>
        <w:ind w:left="4320" w:hanging="360"/>
      </w:pPr>
      <w:rPr>
        <w:rFonts w:ascii="Arial" w:hAnsi="Arial" w:hint="default"/>
      </w:rPr>
    </w:lvl>
    <w:lvl w:ilvl="6" w:tplc="1FBA673C">
      <w:start w:val="1"/>
      <w:numFmt w:val="bullet"/>
      <w:lvlText w:val="–"/>
      <w:lvlJc w:val="left"/>
      <w:pPr>
        <w:tabs>
          <w:tab w:val="num" w:pos="5040"/>
        </w:tabs>
        <w:ind w:left="5040" w:hanging="360"/>
      </w:pPr>
      <w:rPr>
        <w:rFonts w:ascii="Arial" w:hAnsi="Arial" w:hint="default"/>
      </w:rPr>
    </w:lvl>
    <w:lvl w:ilvl="7" w:tplc="007CEAC6">
      <w:start w:val="1"/>
      <w:numFmt w:val="bullet"/>
      <w:lvlText w:val="–"/>
      <w:lvlJc w:val="left"/>
      <w:pPr>
        <w:tabs>
          <w:tab w:val="num" w:pos="5760"/>
        </w:tabs>
        <w:ind w:left="5760" w:hanging="360"/>
      </w:pPr>
      <w:rPr>
        <w:rFonts w:ascii="Arial" w:hAnsi="Arial" w:hint="default"/>
      </w:rPr>
    </w:lvl>
    <w:lvl w:ilvl="8" w:tplc="4D0C1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212B82"/>
    <w:multiLevelType w:val="hybridMultilevel"/>
    <w:tmpl w:val="91747A1A"/>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FD5623"/>
    <w:multiLevelType w:val="hybridMultilevel"/>
    <w:tmpl w:val="356830F2"/>
    <w:lvl w:ilvl="0" w:tplc="0409000F">
      <w:start w:val="1"/>
      <w:numFmt w:val="decimal"/>
      <w:lvlText w:val="%1."/>
      <w:lvlJc w:val="left"/>
      <w:pPr>
        <w:ind w:left="360" w:hanging="360"/>
      </w:pPr>
    </w:lvl>
    <w:lvl w:ilvl="1" w:tplc="04160001">
      <w:start w:val="1"/>
      <w:numFmt w:val="bullet"/>
      <w:lvlText w:val=""/>
      <w:lvlJc w:val="left"/>
      <w:pPr>
        <w:ind w:left="1080" w:hanging="360"/>
      </w:pPr>
      <w:rPr>
        <w:rFonts w:ascii="Symbol" w:hAnsi="Symbol" w:hint="default"/>
        <w:b w:val="0"/>
      </w:rPr>
    </w:lvl>
    <w:lvl w:ilvl="2" w:tplc="04160001">
      <w:start w:val="1"/>
      <w:numFmt w:val="bullet"/>
      <w:lvlText w:val=""/>
      <w:lvlJc w:val="left"/>
      <w:pPr>
        <w:ind w:left="1980" w:hanging="360"/>
      </w:pPr>
      <w:rPr>
        <w:rFonts w:ascii="Symbol" w:hAnsi="Symbol" w:hint="default"/>
      </w:rPr>
    </w:lvl>
    <w:lvl w:ilvl="3" w:tplc="04160001">
      <w:start w:val="1"/>
      <w:numFmt w:val="bullet"/>
      <w:lvlText w:val=""/>
      <w:lvlJc w:val="left"/>
      <w:pPr>
        <w:ind w:left="2520" w:hanging="360"/>
      </w:pPr>
      <w:rPr>
        <w:rFonts w:ascii="Symbol" w:hAnsi="Symbol" w:hint="default"/>
      </w:rPr>
    </w:lvl>
    <w:lvl w:ilvl="4" w:tplc="0416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6D"/>
    <w:rsid w:val="0001222C"/>
    <w:rsid w:val="00022DEC"/>
    <w:rsid w:val="000424AB"/>
    <w:rsid w:val="0008766A"/>
    <w:rsid w:val="000A46B2"/>
    <w:rsid w:val="000B25B6"/>
    <w:rsid w:val="000D2A09"/>
    <w:rsid w:val="00150F7B"/>
    <w:rsid w:val="00161052"/>
    <w:rsid w:val="00174352"/>
    <w:rsid w:val="00195A07"/>
    <w:rsid w:val="00197C34"/>
    <w:rsid w:val="001B1127"/>
    <w:rsid w:val="001B6576"/>
    <w:rsid w:val="001F0C7C"/>
    <w:rsid w:val="00200607"/>
    <w:rsid w:val="0020136D"/>
    <w:rsid w:val="0021111A"/>
    <w:rsid w:val="002112D4"/>
    <w:rsid w:val="0022631C"/>
    <w:rsid w:val="002615DA"/>
    <w:rsid w:val="0027440D"/>
    <w:rsid w:val="002823D2"/>
    <w:rsid w:val="002A7D62"/>
    <w:rsid w:val="002D210F"/>
    <w:rsid w:val="00335638"/>
    <w:rsid w:val="003639EB"/>
    <w:rsid w:val="003777CD"/>
    <w:rsid w:val="003825E6"/>
    <w:rsid w:val="003B73B6"/>
    <w:rsid w:val="003C3B8F"/>
    <w:rsid w:val="003D3585"/>
    <w:rsid w:val="003F71E6"/>
    <w:rsid w:val="004162FF"/>
    <w:rsid w:val="0044722A"/>
    <w:rsid w:val="004564CF"/>
    <w:rsid w:val="00471FD1"/>
    <w:rsid w:val="00474B33"/>
    <w:rsid w:val="00476E66"/>
    <w:rsid w:val="00477657"/>
    <w:rsid w:val="004A2CD6"/>
    <w:rsid w:val="004E0BE8"/>
    <w:rsid w:val="00502CBB"/>
    <w:rsid w:val="005044B1"/>
    <w:rsid w:val="005111A5"/>
    <w:rsid w:val="00511FCF"/>
    <w:rsid w:val="00557759"/>
    <w:rsid w:val="005947D5"/>
    <w:rsid w:val="005B3A47"/>
    <w:rsid w:val="005D5AE6"/>
    <w:rsid w:val="006079DB"/>
    <w:rsid w:val="006227C2"/>
    <w:rsid w:val="00624E7B"/>
    <w:rsid w:val="006340AA"/>
    <w:rsid w:val="00642ED2"/>
    <w:rsid w:val="0065275E"/>
    <w:rsid w:val="0068100E"/>
    <w:rsid w:val="006B50D3"/>
    <w:rsid w:val="006E72CB"/>
    <w:rsid w:val="006F0636"/>
    <w:rsid w:val="0070063A"/>
    <w:rsid w:val="00712A50"/>
    <w:rsid w:val="00716F68"/>
    <w:rsid w:val="0074056A"/>
    <w:rsid w:val="00753622"/>
    <w:rsid w:val="00782E9F"/>
    <w:rsid w:val="00791FE2"/>
    <w:rsid w:val="007F0363"/>
    <w:rsid w:val="007F053E"/>
    <w:rsid w:val="007F156E"/>
    <w:rsid w:val="007F1D18"/>
    <w:rsid w:val="0080752C"/>
    <w:rsid w:val="00815E15"/>
    <w:rsid w:val="0083406D"/>
    <w:rsid w:val="00851693"/>
    <w:rsid w:val="00876692"/>
    <w:rsid w:val="008966CB"/>
    <w:rsid w:val="008B2DE9"/>
    <w:rsid w:val="008D2E84"/>
    <w:rsid w:val="00921F59"/>
    <w:rsid w:val="00926744"/>
    <w:rsid w:val="00941709"/>
    <w:rsid w:val="00964BED"/>
    <w:rsid w:val="009758C9"/>
    <w:rsid w:val="009772D3"/>
    <w:rsid w:val="009952BF"/>
    <w:rsid w:val="00A2258C"/>
    <w:rsid w:val="00A23152"/>
    <w:rsid w:val="00A239E5"/>
    <w:rsid w:val="00A423FA"/>
    <w:rsid w:val="00A80D90"/>
    <w:rsid w:val="00AA788C"/>
    <w:rsid w:val="00AC3A0D"/>
    <w:rsid w:val="00AF00A5"/>
    <w:rsid w:val="00AF49F4"/>
    <w:rsid w:val="00B03B26"/>
    <w:rsid w:val="00B221D6"/>
    <w:rsid w:val="00B22FCB"/>
    <w:rsid w:val="00B9341A"/>
    <w:rsid w:val="00BA3BD9"/>
    <w:rsid w:val="00BC238D"/>
    <w:rsid w:val="00BE3F06"/>
    <w:rsid w:val="00C20F86"/>
    <w:rsid w:val="00C23EA6"/>
    <w:rsid w:val="00C24A90"/>
    <w:rsid w:val="00C563BA"/>
    <w:rsid w:val="00C57396"/>
    <w:rsid w:val="00C7205F"/>
    <w:rsid w:val="00C85008"/>
    <w:rsid w:val="00CC7266"/>
    <w:rsid w:val="00CD26DB"/>
    <w:rsid w:val="00CE1407"/>
    <w:rsid w:val="00D20530"/>
    <w:rsid w:val="00D33960"/>
    <w:rsid w:val="00D34FC6"/>
    <w:rsid w:val="00D77B60"/>
    <w:rsid w:val="00D92973"/>
    <w:rsid w:val="00D92B82"/>
    <w:rsid w:val="00DB3D3B"/>
    <w:rsid w:val="00DC4D62"/>
    <w:rsid w:val="00E02F57"/>
    <w:rsid w:val="00E47EDE"/>
    <w:rsid w:val="00E6504A"/>
    <w:rsid w:val="00E67D2B"/>
    <w:rsid w:val="00E9402B"/>
    <w:rsid w:val="00EB2145"/>
    <w:rsid w:val="00F25CE0"/>
    <w:rsid w:val="00F46731"/>
    <w:rsid w:val="00F50CA9"/>
    <w:rsid w:val="00F54DE1"/>
    <w:rsid w:val="00F57CF4"/>
    <w:rsid w:val="00F64C90"/>
    <w:rsid w:val="00F742BA"/>
    <w:rsid w:val="00F975F1"/>
    <w:rsid w:val="00FB0327"/>
    <w:rsid w:val="00FD7449"/>
    <w:rsid w:val="00FF3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454F"/>
  <w15:chartTrackingRefBased/>
  <w15:docId w15:val="{D9A2B515-FA94-294D-A148-041410F0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D2"/>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20136D"/>
    <w:pPr>
      <w:spacing w:before="300" w:after="40"/>
      <w:outlineLvl w:val="0"/>
    </w:pPr>
    <w:rPr>
      <w:smallCaps/>
      <w:spacing w:val="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136D"/>
    <w:rPr>
      <w:rFonts w:ascii="Times New Roman" w:eastAsia="Times New Roman" w:hAnsi="Times New Roman" w:cs="Times New Roman"/>
      <w:smallCaps/>
      <w:spacing w:val="5"/>
      <w:sz w:val="32"/>
      <w:szCs w:val="32"/>
      <w:lang w:eastAsia="pt-BR"/>
    </w:rPr>
  </w:style>
  <w:style w:type="paragraph" w:styleId="PargrafodaLista">
    <w:name w:val="List Paragraph"/>
    <w:basedOn w:val="Normal"/>
    <w:uiPriority w:val="34"/>
    <w:qFormat/>
    <w:rsid w:val="0020136D"/>
    <w:pPr>
      <w:ind w:left="720"/>
      <w:contextualSpacing/>
    </w:pPr>
  </w:style>
  <w:style w:type="character" w:styleId="Hyperlink">
    <w:name w:val="Hyperlink"/>
    <w:basedOn w:val="Fontepargpadro"/>
    <w:uiPriority w:val="99"/>
    <w:unhideWhenUsed/>
    <w:rsid w:val="004A2CD6"/>
    <w:rPr>
      <w:color w:val="0563C1" w:themeColor="hyperlink"/>
      <w:u w:val="single"/>
    </w:rPr>
  </w:style>
  <w:style w:type="paragraph" w:styleId="NormalWeb">
    <w:name w:val="Normal (Web)"/>
    <w:basedOn w:val="Normal"/>
    <w:uiPriority w:val="99"/>
    <w:unhideWhenUsed/>
    <w:rsid w:val="003639EB"/>
    <w:pPr>
      <w:spacing w:before="100" w:beforeAutospacing="1" w:after="100" w:afterAutospacing="1"/>
    </w:pPr>
    <w:rPr>
      <w:lang w:val="en-US"/>
    </w:rPr>
  </w:style>
  <w:style w:type="paragraph" w:styleId="Legenda">
    <w:name w:val="caption"/>
    <w:basedOn w:val="Normal"/>
    <w:next w:val="Normal"/>
    <w:uiPriority w:val="35"/>
    <w:unhideWhenUsed/>
    <w:qFormat/>
    <w:rsid w:val="00A23152"/>
    <w:pPr>
      <w:spacing w:after="200"/>
    </w:pPr>
    <w:rPr>
      <w:rFonts w:asciiTheme="minorHAnsi" w:eastAsiaTheme="minorEastAsia" w:hAnsiTheme="minorHAnsi" w:cstheme="minorBidi"/>
      <w:b/>
      <w:bCs/>
      <w:color w:val="4472C4"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3176">
      <w:bodyDiv w:val="1"/>
      <w:marLeft w:val="0"/>
      <w:marRight w:val="0"/>
      <w:marTop w:val="0"/>
      <w:marBottom w:val="0"/>
      <w:divBdr>
        <w:top w:val="none" w:sz="0" w:space="0" w:color="auto"/>
        <w:left w:val="none" w:sz="0" w:space="0" w:color="auto"/>
        <w:bottom w:val="none" w:sz="0" w:space="0" w:color="auto"/>
        <w:right w:val="none" w:sz="0" w:space="0" w:color="auto"/>
      </w:divBdr>
      <w:divsChild>
        <w:div w:id="1743215215">
          <w:marLeft w:val="446"/>
          <w:marRight w:val="0"/>
          <w:marTop w:val="115"/>
          <w:marBottom w:val="120"/>
          <w:divBdr>
            <w:top w:val="none" w:sz="0" w:space="0" w:color="auto"/>
            <w:left w:val="none" w:sz="0" w:space="0" w:color="auto"/>
            <w:bottom w:val="none" w:sz="0" w:space="0" w:color="auto"/>
            <w:right w:val="none" w:sz="0" w:space="0" w:color="auto"/>
          </w:divBdr>
        </w:div>
        <w:div w:id="1031414103">
          <w:marLeft w:val="446"/>
          <w:marRight w:val="0"/>
          <w:marTop w:val="115"/>
          <w:marBottom w:val="120"/>
          <w:divBdr>
            <w:top w:val="none" w:sz="0" w:space="0" w:color="auto"/>
            <w:left w:val="none" w:sz="0" w:space="0" w:color="auto"/>
            <w:bottom w:val="none" w:sz="0" w:space="0" w:color="auto"/>
            <w:right w:val="none" w:sz="0" w:space="0" w:color="auto"/>
          </w:divBdr>
        </w:div>
        <w:div w:id="843514193">
          <w:marLeft w:val="446"/>
          <w:marRight w:val="0"/>
          <w:marTop w:val="115"/>
          <w:marBottom w:val="120"/>
          <w:divBdr>
            <w:top w:val="none" w:sz="0" w:space="0" w:color="auto"/>
            <w:left w:val="none" w:sz="0" w:space="0" w:color="auto"/>
            <w:bottom w:val="none" w:sz="0" w:space="0" w:color="auto"/>
            <w:right w:val="none" w:sz="0" w:space="0" w:color="auto"/>
          </w:divBdr>
        </w:div>
        <w:div w:id="584725561">
          <w:marLeft w:val="1886"/>
          <w:marRight w:val="0"/>
          <w:marTop w:val="86"/>
          <w:marBottom w:val="120"/>
          <w:divBdr>
            <w:top w:val="none" w:sz="0" w:space="0" w:color="auto"/>
            <w:left w:val="none" w:sz="0" w:space="0" w:color="auto"/>
            <w:bottom w:val="none" w:sz="0" w:space="0" w:color="auto"/>
            <w:right w:val="none" w:sz="0" w:space="0" w:color="auto"/>
          </w:divBdr>
        </w:div>
        <w:div w:id="431708670">
          <w:marLeft w:val="1886"/>
          <w:marRight w:val="0"/>
          <w:marTop w:val="86"/>
          <w:marBottom w:val="120"/>
          <w:divBdr>
            <w:top w:val="none" w:sz="0" w:space="0" w:color="auto"/>
            <w:left w:val="none" w:sz="0" w:space="0" w:color="auto"/>
            <w:bottom w:val="none" w:sz="0" w:space="0" w:color="auto"/>
            <w:right w:val="none" w:sz="0" w:space="0" w:color="auto"/>
          </w:divBdr>
        </w:div>
      </w:divsChild>
    </w:div>
    <w:div w:id="1394423849">
      <w:bodyDiv w:val="1"/>
      <w:marLeft w:val="0"/>
      <w:marRight w:val="0"/>
      <w:marTop w:val="0"/>
      <w:marBottom w:val="0"/>
      <w:divBdr>
        <w:top w:val="none" w:sz="0" w:space="0" w:color="auto"/>
        <w:left w:val="none" w:sz="0" w:space="0" w:color="auto"/>
        <w:bottom w:val="none" w:sz="0" w:space="0" w:color="auto"/>
        <w:right w:val="none" w:sz="0" w:space="0" w:color="auto"/>
      </w:divBdr>
      <w:divsChild>
        <w:div w:id="1884632388">
          <w:marLeft w:val="446"/>
          <w:marRight w:val="0"/>
          <w:marTop w:val="115"/>
          <w:marBottom w:val="120"/>
          <w:divBdr>
            <w:top w:val="none" w:sz="0" w:space="0" w:color="auto"/>
            <w:left w:val="none" w:sz="0" w:space="0" w:color="auto"/>
            <w:bottom w:val="none" w:sz="0" w:space="0" w:color="auto"/>
            <w:right w:val="none" w:sz="0" w:space="0" w:color="auto"/>
          </w:divBdr>
        </w:div>
        <w:div w:id="1793015309">
          <w:marLeft w:val="446"/>
          <w:marRight w:val="0"/>
          <w:marTop w:val="115"/>
          <w:marBottom w:val="120"/>
          <w:divBdr>
            <w:top w:val="none" w:sz="0" w:space="0" w:color="auto"/>
            <w:left w:val="none" w:sz="0" w:space="0" w:color="auto"/>
            <w:bottom w:val="none" w:sz="0" w:space="0" w:color="auto"/>
            <w:right w:val="none" w:sz="0" w:space="0" w:color="auto"/>
          </w:divBdr>
        </w:div>
        <w:div w:id="57948239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rodrigo.goyenasoares@usp.b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Total de hipotecas rurais</c:v>
                </c:pt>
              </c:strCache>
            </c:strRef>
          </c:tx>
          <c:spPr>
            <a:ln w="28575" cap="rnd">
              <a:solidFill>
                <a:schemeClr val="accent1"/>
              </a:solidFill>
              <a:round/>
            </a:ln>
            <a:effectLst/>
          </c:spPr>
          <c:marker>
            <c:symbol val="none"/>
          </c:marker>
          <c:cat>
            <c:numRef>
              <c:f>Planilha1!$A$2:$A$16</c:f>
              <c:numCache>
                <c:formatCode>General</c:formatCode>
                <c:ptCount val="15"/>
                <c:pt idx="0">
                  <c:v>1874</c:v>
                </c:pt>
                <c:pt idx="1">
                  <c:v>1875</c:v>
                </c:pt>
                <c:pt idx="2">
                  <c:v>1876</c:v>
                </c:pt>
                <c:pt idx="3">
                  <c:v>1877</c:v>
                </c:pt>
                <c:pt idx="4">
                  <c:v>1878</c:v>
                </c:pt>
                <c:pt idx="5">
                  <c:v>1879</c:v>
                </c:pt>
                <c:pt idx="6">
                  <c:v>1880</c:v>
                </c:pt>
                <c:pt idx="7">
                  <c:v>1881</c:v>
                </c:pt>
                <c:pt idx="8">
                  <c:v>1882</c:v>
                </c:pt>
                <c:pt idx="9">
                  <c:v>1883</c:v>
                </c:pt>
                <c:pt idx="10">
                  <c:v>1884</c:v>
                </c:pt>
                <c:pt idx="11">
                  <c:v>1885</c:v>
                </c:pt>
                <c:pt idx="12">
                  <c:v>1886</c:v>
                </c:pt>
                <c:pt idx="13">
                  <c:v>1887</c:v>
                </c:pt>
                <c:pt idx="14">
                  <c:v>1888</c:v>
                </c:pt>
              </c:numCache>
            </c:numRef>
          </c:cat>
          <c:val>
            <c:numRef>
              <c:f>Planilha1!$B$2:$B$16</c:f>
              <c:numCache>
                <c:formatCode>General</c:formatCode>
                <c:ptCount val="15"/>
                <c:pt idx="0">
                  <c:v>25057</c:v>
                </c:pt>
                <c:pt idx="1">
                  <c:v>26124</c:v>
                </c:pt>
                <c:pt idx="2">
                  <c:v>25280</c:v>
                </c:pt>
                <c:pt idx="3">
                  <c:v>26328</c:v>
                </c:pt>
                <c:pt idx="4">
                  <c:v>27723</c:v>
                </c:pt>
                <c:pt idx="5">
                  <c:v>28279</c:v>
                </c:pt>
                <c:pt idx="6">
                  <c:v>29198</c:v>
                </c:pt>
                <c:pt idx="7">
                  <c:v>28913</c:v>
                </c:pt>
                <c:pt idx="8">
                  <c:v>29147</c:v>
                </c:pt>
                <c:pt idx="9">
                  <c:v>28204</c:v>
                </c:pt>
                <c:pt idx="10">
                  <c:v>27978</c:v>
                </c:pt>
                <c:pt idx="11">
                  <c:v>26081</c:v>
                </c:pt>
                <c:pt idx="12">
                  <c:v>24062</c:v>
                </c:pt>
                <c:pt idx="13">
                  <c:v>21206</c:v>
                </c:pt>
                <c:pt idx="14">
                  <c:v>19120</c:v>
                </c:pt>
              </c:numCache>
            </c:numRef>
          </c:val>
          <c:smooth val="0"/>
          <c:extLst>
            <c:ext xmlns:c16="http://schemas.microsoft.com/office/drawing/2014/chart" uri="{C3380CC4-5D6E-409C-BE32-E72D297353CC}">
              <c16:uniqueId val="{00000000-AE00-E44E-9E50-3F7222325E66}"/>
            </c:ext>
          </c:extLst>
        </c:ser>
        <c:ser>
          <c:idx val="1"/>
          <c:order val="1"/>
          <c:tx>
            <c:strRef>
              <c:f>Planilha1!$C$1</c:f>
              <c:strCache>
                <c:ptCount val="1"/>
                <c:pt idx="0">
                  <c:v>Para o Rio de Janeiro</c:v>
                </c:pt>
              </c:strCache>
            </c:strRef>
          </c:tx>
          <c:spPr>
            <a:ln w="28575" cap="rnd">
              <a:solidFill>
                <a:schemeClr val="accent2"/>
              </a:solidFill>
              <a:round/>
            </a:ln>
            <a:effectLst/>
          </c:spPr>
          <c:marker>
            <c:symbol val="none"/>
          </c:marker>
          <c:cat>
            <c:numRef>
              <c:f>Planilha1!$A$2:$A$16</c:f>
              <c:numCache>
                <c:formatCode>General</c:formatCode>
                <c:ptCount val="15"/>
                <c:pt idx="0">
                  <c:v>1874</c:v>
                </c:pt>
                <c:pt idx="1">
                  <c:v>1875</c:v>
                </c:pt>
                <c:pt idx="2">
                  <c:v>1876</c:v>
                </c:pt>
                <c:pt idx="3">
                  <c:v>1877</c:v>
                </c:pt>
                <c:pt idx="4">
                  <c:v>1878</c:v>
                </c:pt>
                <c:pt idx="5">
                  <c:v>1879</c:v>
                </c:pt>
                <c:pt idx="6">
                  <c:v>1880</c:v>
                </c:pt>
                <c:pt idx="7">
                  <c:v>1881</c:v>
                </c:pt>
                <c:pt idx="8">
                  <c:v>1882</c:v>
                </c:pt>
                <c:pt idx="9">
                  <c:v>1883</c:v>
                </c:pt>
                <c:pt idx="10">
                  <c:v>1884</c:v>
                </c:pt>
                <c:pt idx="11">
                  <c:v>1885</c:v>
                </c:pt>
                <c:pt idx="12">
                  <c:v>1886</c:v>
                </c:pt>
                <c:pt idx="13">
                  <c:v>1887</c:v>
                </c:pt>
                <c:pt idx="14">
                  <c:v>1888</c:v>
                </c:pt>
              </c:numCache>
            </c:numRef>
          </c:cat>
          <c:val>
            <c:numRef>
              <c:f>Planilha1!$C$2:$C$16</c:f>
              <c:numCache>
                <c:formatCode>General</c:formatCode>
                <c:ptCount val="15"/>
                <c:pt idx="0">
                  <c:v>15044</c:v>
                </c:pt>
                <c:pt idx="1">
                  <c:v>15304</c:v>
                </c:pt>
                <c:pt idx="2">
                  <c:v>14954</c:v>
                </c:pt>
                <c:pt idx="3">
                  <c:v>13625</c:v>
                </c:pt>
                <c:pt idx="4">
                  <c:v>13320</c:v>
                </c:pt>
                <c:pt idx="5">
                  <c:v>13720</c:v>
                </c:pt>
                <c:pt idx="6">
                  <c:v>13405</c:v>
                </c:pt>
                <c:pt idx="7">
                  <c:v>13320</c:v>
                </c:pt>
                <c:pt idx="8">
                  <c:v>12787</c:v>
                </c:pt>
                <c:pt idx="9">
                  <c:v>12435</c:v>
                </c:pt>
                <c:pt idx="10">
                  <c:v>12377</c:v>
                </c:pt>
                <c:pt idx="11">
                  <c:v>11742</c:v>
                </c:pt>
                <c:pt idx="12">
                  <c:v>11006</c:v>
                </c:pt>
                <c:pt idx="13">
                  <c:v>10075</c:v>
                </c:pt>
                <c:pt idx="14">
                  <c:v>9202</c:v>
                </c:pt>
              </c:numCache>
            </c:numRef>
          </c:val>
          <c:smooth val="0"/>
          <c:extLst>
            <c:ext xmlns:c16="http://schemas.microsoft.com/office/drawing/2014/chart" uri="{C3380CC4-5D6E-409C-BE32-E72D297353CC}">
              <c16:uniqueId val="{00000001-AE00-E44E-9E50-3F7222325E66}"/>
            </c:ext>
          </c:extLst>
        </c:ser>
        <c:ser>
          <c:idx val="2"/>
          <c:order val="2"/>
          <c:tx>
            <c:strRef>
              <c:f>Planilha1!$D$1</c:f>
              <c:strCache>
                <c:ptCount val="1"/>
                <c:pt idx="0">
                  <c:v>Para São Paulo</c:v>
                </c:pt>
              </c:strCache>
            </c:strRef>
          </c:tx>
          <c:spPr>
            <a:ln w="28575" cap="rnd">
              <a:solidFill>
                <a:schemeClr val="accent3"/>
              </a:solidFill>
              <a:round/>
            </a:ln>
            <a:effectLst/>
          </c:spPr>
          <c:marker>
            <c:symbol val="none"/>
          </c:marker>
          <c:cat>
            <c:numRef>
              <c:f>Planilha1!$A$2:$A$16</c:f>
              <c:numCache>
                <c:formatCode>General</c:formatCode>
                <c:ptCount val="15"/>
                <c:pt idx="0">
                  <c:v>1874</c:v>
                </c:pt>
                <c:pt idx="1">
                  <c:v>1875</c:v>
                </c:pt>
                <c:pt idx="2">
                  <c:v>1876</c:v>
                </c:pt>
                <c:pt idx="3">
                  <c:v>1877</c:v>
                </c:pt>
                <c:pt idx="4">
                  <c:v>1878</c:v>
                </c:pt>
                <c:pt idx="5">
                  <c:v>1879</c:v>
                </c:pt>
                <c:pt idx="6">
                  <c:v>1880</c:v>
                </c:pt>
                <c:pt idx="7">
                  <c:v>1881</c:v>
                </c:pt>
                <c:pt idx="8">
                  <c:v>1882</c:v>
                </c:pt>
                <c:pt idx="9">
                  <c:v>1883</c:v>
                </c:pt>
                <c:pt idx="10">
                  <c:v>1884</c:v>
                </c:pt>
                <c:pt idx="11">
                  <c:v>1885</c:v>
                </c:pt>
                <c:pt idx="12">
                  <c:v>1886</c:v>
                </c:pt>
                <c:pt idx="13">
                  <c:v>1887</c:v>
                </c:pt>
                <c:pt idx="14">
                  <c:v>1888</c:v>
                </c:pt>
              </c:numCache>
            </c:numRef>
          </c:cat>
          <c:val>
            <c:numRef>
              <c:f>Planilha1!$D$2:$D$16</c:f>
              <c:numCache>
                <c:formatCode>General</c:formatCode>
                <c:ptCount val="15"/>
                <c:pt idx="0">
                  <c:v>5197</c:v>
                </c:pt>
                <c:pt idx="1">
                  <c:v>5494</c:v>
                </c:pt>
                <c:pt idx="2">
                  <c:v>5011</c:v>
                </c:pt>
                <c:pt idx="3">
                  <c:v>7480</c:v>
                </c:pt>
                <c:pt idx="4">
                  <c:v>8123</c:v>
                </c:pt>
                <c:pt idx="5">
                  <c:v>8988</c:v>
                </c:pt>
                <c:pt idx="6">
                  <c:v>10459</c:v>
                </c:pt>
                <c:pt idx="7">
                  <c:v>10954</c:v>
                </c:pt>
                <c:pt idx="8">
                  <c:v>11032</c:v>
                </c:pt>
                <c:pt idx="9">
                  <c:v>10446</c:v>
                </c:pt>
                <c:pt idx="10">
                  <c:v>10084</c:v>
                </c:pt>
                <c:pt idx="11">
                  <c:v>9342</c:v>
                </c:pt>
                <c:pt idx="12">
                  <c:v>8375</c:v>
                </c:pt>
                <c:pt idx="13">
                  <c:v>7086</c:v>
                </c:pt>
                <c:pt idx="14">
                  <c:v>6110</c:v>
                </c:pt>
              </c:numCache>
            </c:numRef>
          </c:val>
          <c:smooth val="0"/>
          <c:extLst>
            <c:ext xmlns:c16="http://schemas.microsoft.com/office/drawing/2014/chart" uri="{C3380CC4-5D6E-409C-BE32-E72D297353CC}">
              <c16:uniqueId val="{00000002-AE00-E44E-9E50-3F7222325E66}"/>
            </c:ext>
          </c:extLst>
        </c:ser>
        <c:ser>
          <c:idx val="3"/>
          <c:order val="3"/>
          <c:tx>
            <c:strRef>
              <c:f>Planilha1!$E$1</c:f>
              <c:strCache>
                <c:ptCount val="1"/>
                <c:pt idx="0">
                  <c:v>Para Minas Gerais</c:v>
                </c:pt>
              </c:strCache>
            </c:strRef>
          </c:tx>
          <c:spPr>
            <a:ln w="28575" cap="rnd">
              <a:solidFill>
                <a:schemeClr val="accent4"/>
              </a:solidFill>
              <a:round/>
            </a:ln>
            <a:effectLst/>
          </c:spPr>
          <c:marker>
            <c:symbol val="none"/>
          </c:marker>
          <c:cat>
            <c:numRef>
              <c:f>Planilha1!$A$2:$A$16</c:f>
              <c:numCache>
                <c:formatCode>General</c:formatCode>
                <c:ptCount val="15"/>
                <c:pt idx="0">
                  <c:v>1874</c:v>
                </c:pt>
                <c:pt idx="1">
                  <c:v>1875</c:v>
                </c:pt>
                <c:pt idx="2">
                  <c:v>1876</c:v>
                </c:pt>
                <c:pt idx="3">
                  <c:v>1877</c:v>
                </c:pt>
                <c:pt idx="4">
                  <c:v>1878</c:v>
                </c:pt>
                <c:pt idx="5">
                  <c:v>1879</c:v>
                </c:pt>
                <c:pt idx="6">
                  <c:v>1880</c:v>
                </c:pt>
                <c:pt idx="7">
                  <c:v>1881</c:v>
                </c:pt>
                <c:pt idx="8">
                  <c:v>1882</c:v>
                </c:pt>
                <c:pt idx="9">
                  <c:v>1883</c:v>
                </c:pt>
                <c:pt idx="10">
                  <c:v>1884</c:v>
                </c:pt>
                <c:pt idx="11">
                  <c:v>1885</c:v>
                </c:pt>
                <c:pt idx="12">
                  <c:v>1886</c:v>
                </c:pt>
                <c:pt idx="13">
                  <c:v>1887</c:v>
                </c:pt>
                <c:pt idx="14">
                  <c:v>1888</c:v>
                </c:pt>
              </c:numCache>
            </c:numRef>
          </c:cat>
          <c:val>
            <c:numRef>
              <c:f>Planilha1!$E$2:$E$16</c:f>
              <c:numCache>
                <c:formatCode>General</c:formatCode>
                <c:ptCount val="15"/>
                <c:pt idx="0">
                  <c:v>4410</c:v>
                </c:pt>
                <c:pt idx="1">
                  <c:v>4621</c:v>
                </c:pt>
                <c:pt idx="2">
                  <c:v>4231</c:v>
                </c:pt>
                <c:pt idx="3">
                  <c:v>4882</c:v>
                </c:pt>
                <c:pt idx="4">
                  <c:v>5014</c:v>
                </c:pt>
                <c:pt idx="5">
                  <c:v>5290</c:v>
                </c:pt>
                <c:pt idx="6">
                  <c:v>5108</c:v>
                </c:pt>
                <c:pt idx="7">
                  <c:v>5274</c:v>
                </c:pt>
                <c:pt idx="8">
                  <c:v>5321</c:v>
                </c:pt>
                <c:pt idx="9">
                  <c:v>5161</c:v>
                </c:pt>
                <c:pt idx="10">
                  <c:v>5157</c:v>
                </c:pt>
                <c:pt idx="11">
                  <c:v>4858</c:v>
                </c:pt>
                <c:pt idx="12">
                  <c:v>4565</c:v>
                </c:pt>
                <c:pt idx="13">
                  <c:v>3952</c:v>
                </c:pt>
                <c:pt idx="14">
                  <c:v>3638</c:v>
                </c:pt>
              </c:numCache>
            </c:numRef>
          </c:val>
          <c:smooth val="0"/>
          <c:extLst>
            <c:ext xmlns:c16="http://schemas.microsoft.com/office/drawing/2014/chart" uri="{C3380CC4-5D6E-409C-BE32-E72D297353CC}">
              <c16:uniqueId val="{00000003-AE00-E44E-9E50-3F7222325E66}"/>
            </c:ext>
          </c:extLst>
        </c:ser>
        <c:dLbls>
          <c:showLegendKey val="0"/>
          <c:showVal val="0"/>
          <c:showCatName val="0"/>
          <c:showSerName val="0"/>
          <c:showPercent val="0"/>
          <c:showBubbleSize val="0"/>
        </c:dLbls>
        <c:smooth val="0"/>
        <c:axId val="-1864997264"/>
        <c:axId val="-1864996224"/>
      </c:lineChart>
      <c:catAx>
        <c:axId val="-186499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64996224"/>
        <c:crosses val="autoZero"/>
        <c:auto val="1"/>
        <c:lblAlgn val="ctr"/>
        <c:lblOffset val="100"/>
        <c:noMultiLvlLbl val="0"/>
      </c:catAx>
      <c:valAx>
        <c:axId val="-186499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6499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Ativos do Banco do Brasil</c:v>
                </c:pt>
              </c:strCache>
            </c:strRef>
          </c:tx>
          <c:spPr>
            <a:ln w="28575" cap="rnd">
              <a:solidFill>
                <a:schemeClr val="accent1"/>
              </a:solidFill>
              <a:round/>
            </a:ln>
            <a:effectLst/>
          </c:spPr>
          <c:marker>
            <c:symbol val="none"/>
          </c:marker>
          <c:cat>
            <c:strRef>
              <c:f>Planilha1!$A$2:$A$31</c:f>
              <c:strCache>
                <c:ptCount val="30"/>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89/90</c:v>
                </c:pt>
              </c:strCache>
            </c:strRef>
          </c:cat>
          <c:val>
            <c:numRef>
              <c:f>Planilha1!$B$2:$B$31</c:f>
              <c:numCache>
                <c:formatCode>General</c:formatCode>
                <c:ptCount val="30"/>
                <c:pt idx="0">
                  <c:v>84069</c:v>
                </c:pt>
                <c:pt idx="1">
                  <c:v>90223</c:v>
                </c:pt>
                <c:pt idx="2">
                  <c:v>97673</c:v>
                </c:pt>
                <c:pt idx="3">
                  <c:v>93318</c:v>
                </c:pt>
                <c:pt idx="4">
                  <c:v>80992</c:v>
                </c:pt>
                <c:pt idx="5">
                  <c:v>115610</c:v>
                </c:pt>
                <c:pt idx="6">
                  <c:v>129197</c:v>
                </c:pt>
                <c:pt idx="7">
                  <c:v>121567</c:v>
                </c:pt>
                <c:pt idx="8">
                  <c:v>104058</c:v>
                </c:pt>
                <c:pt idx="9">
                  <c:v>103727</c:v>
                </c:pt>
                <c:pt idx="10">
                  <c:v>109536</c:v>
                </c:pt>
                <c:pt idx="11">
                  <c:v>102859</c:v>
                </c:pt>
                <c:pt idx="12">
                  <c:v>99740</c:v>
                </c:pt>
                <c:pt idx="13">
                  <c:v>90516</c:v>
                </c:pt>
                <c:pt idx="14">
                  <c:v>92517</c:v>
                </c:pt>
                <c:pt idx="15">
                  <c:v>93375</c:v>
                </c:pt>
                <c:pt idx="16">
                  <c:v>117375</c:v>
                </c:pt>
                <c:pt idx="17">
                  <c:v>144127</c:v>
                </c:pt>
                <c:pt idx="18">
                  <c:v>159552</c:v>
                </c:pt>
                <c:pt idx="19">
                  <c:v>174065</c:v>
                </c:pt>
                <c:pt idx="20">
                  <c:v>218120</c:v>
                </c:pt>
                <c:pt idx="21">
                  <c:v>214198</c:v>
                </c:pt>
                <c:pt idx="22">
                  <c:v>226486</c:v>
                </c:pt>
                <c:pt idx="23">
                  <c:v>227567</c:v>
                </c:pt>
                <c:pt idx="24">
                  <c:v>215243</c:v>
                </c:pt>
                <c:pt idx="25">
                  <c:v>225162</c:v>
                </c:pt>
                <c:pt idx="26">
                  <c:v>221759</c:v>
                </c:pt>
                <c:pt idx="27">
                  <c:v>222408</c:v>
                </c:pt>
                <c:pt idx="28">
                  <c:v>218573</c:v>
                </c:pt>
                <c:pt idx="29">
                  <c:v>422219</c:v>
                </c:pt>
              </c:numCache>
            </c:numRef>
          </c:val>
          <c:smooth val="0"/>
          <c:extLst>
            <c:ext xmlns:c16="http://schemas.microsoft.com/office/drawing/2014/chart" uri="{C3380CC4-5D6E-409C-BE32-E72D297353CC}">
              <c16:uniqueId val="{00000000-9DA5-BC43-9A52-F652D0578BCF}"/>
            </c:ext>
          </c:extLst>
        </c:ser>
        <c:dLbls>
          <c:showLegendKey val="0"/>
          <c:showVal val="0"/>
          <c:showCatName val="0"/>
          <c:showSerName val="0"/>
          <c:showPercent val="0"/>
          <c:showBubbleSize val="0"/>
        </c:dLbls>
        <c:smooth val="0"/>
        <c:axId val="-1863656848"/>
        <c:axId val="-1863653392"/>
      </c:lineChart>
      <c:catAx>
        <c:axId val="-18636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63653392"/>
        <c:crosses val="autoZero"/>
        <c:auto val="1"/>
        <c:lblAlgn val="ctr"/>
        <c:lblOffset val="100"/>
        <c:noMultiLvlLbl val="0"/>
      </c:catAx>
      <c:valAx>
        <c:axId val="-186365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63656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Capital Produtivo Zona do Rio</c:v>
                </c:pt>
              </c:strCache>
            </c:strRef>
          </c:tx>
          <c:spPr>
            <a:solidFill>
              <a:schemeClr val="accent1"/>
            </a:solidFill>
            <a:ln>
              <a:noFill/>
            </a:ln>
            <a:effectLst/>
          </c:spPr>
          <c:invertIfNegative val="0"/>
          <c:cat>
            <c:strRef>
              <c:f>Planilha1!$A$2:$A$8</c:f>
              <c:strCache>
                <c:ptCount val="7"/>
                <c:pt idx="0">
                  <c:v>1859-1860</c:v>
                </c:pt>
                <c:pt idx="1">
                  <c:v>1864-1865</c:v>
                </c:pt>
                <c:pt idx="2">
                  <c:v>1869-1870</c:v>
                </c:pt>
                <c:pt idx="3">
                  <c:v>1874-1875</c:v>
                </c:pt>
                <c:pt idx="4">
                  <c:v>1879-1880</c:v>
                </c:pt>
                <c:pt idx="5">
                  <c:v>1884-1885</c:v>
                </c:pt>
                <c:pt idx="6">
                  <c:v>1888-1889</c:v>
                </c:pt>
              </c:strCache>
            </c:strRef>
          </c:cat>
          <c:val>
            <c:numRef>
              <c:f>Planilha1!$B$2:$B$8</c:f>
              <c:numCache>
                <c:formatCode>General</c:formatCode>
                <c:ptCount val="7"/>
                <c:pt idx="0">
                  <c:v>57592</c:v>
                </c:pt>
                <c:pt idx="1">
                  <c:v>62572</c:v>
                </c:pt>
                <c:pt idx="2">
                  <c:v>71075</c:v>
                </c:pt>
                <c:pt idx="3">
                  <c:v>103091</c:v>
                </c:pt>
                <c:pt idx="4">
                  <c:v>112089</c:v>
                </c:pt>
                <c:pt idx="5">
                  <c:v>109143</c:v>
                </c:pt>
                <c:pt idx="6">
                  <c:v>95751</c:v>
                </c:pt>
              </c:numCache>
            </c:numRef>
          </c:val>
          <c:extLst>
            <c:ext xmlns:c16="http://schemas.microsoft.com/office/drawing/2014/chart" uri="{C3380CC4-5D6E-409C-BE32-E72D297353CC}">
              <c16:uniqueId val="{00000000-69DC-5B4C-9B46-FD25383C0330}"/>
            </c:ext>
          </c:extLst>
        </c:ser>
        <c:ser>
          <c:idx val="1"/>
          <c:order val="1"/>
          <c:tx>
            <c:strRef>
              <c:f>Planilha1!$C$1</c:f>
              <c:strCache>
                <c:ptCount val="1"/>
                <c:pt idx="0">
                  <c:v>Capital Produtivo Zona de Santos</c:v>
                </c:pt>
              </c:strCache>
            </c:strRef>
          </c:tx>
          <c:spPr>
            <a:solidFill>
              <a:schemeClr val="accent2"/>
            </a:solidFill>
            <a:ln>
              <a:noFill/>
            </a:ln>
            <a:effectLst/>
          </c:spPr>
          <c:invertIfNegative val="0"/>
          <c:cat>
            <c:strRef>
              <c:f>Planilha1!$A$2:$A$8</c:f>
              <c:strCache>
                <c:ptCount val="7"/>
                <c:pt idx="0">
                  <c:v>1859-1860</c:v>
                </c:pt>
                <c:pt idx="1">
                  <c:v>1864-1865</c:v>
                </c:pt>
                <c:pt idx="2">
                  <c:v>1869-1870</c:v>
                </c:pt>
                <c:pt idx="3">
                  <c:v>1874-1875</c:v>
                </c:pt>
                <c:pt idx="4">
                  <c:v>1879-1880</c:v>
                </c:pt>
                <c:pt idx="5">
                  <c:v>1884-1885</c:v>
                </c:pt>
                <c:pt idx="6">
                  <c:v>1888-1889</c:v>
                </c:pt>
              </c:strCache>
            </c:strRef>
          </c:cat>
          <c:val>
            <c:numRef>
              <c:f>Planilha1!$C$2:$C$8</c:f>
              <c:numCache>
                <c:formatCode>General</c:formatCode>
                <c:ptCount val="7"/>
                <c:pt idx="0">
                  <c:v>10482</c:v>
                </c:pt>
                <c:pt idx="1">
                  <c:v>9497</c:v>
                </c:pt>
                <c:pt idx="2">
                  <c:v>18006</c:v>
                </c:pt>
                <c:pt idx="3">
                  <c:v>27854</c:v>
                </c:pt>
                <c:pt idx="4">
                  <c:v>29779</c:v>
                </c:pt>
                <c:pt idx="5">
                  <c:v>48581</c:v>
                </c:pt>
                <c:pt idx="6">
                  <c:v>95047</c:v>
                </c:pt>
              </c:numCache>
            </c:numRef>
          </c:val>
          <c:extLst>
            <c:ext xmlns:c16="http://schemas.microsoft.com/office/drawing/2014/chart" uri="{C3380CC4-5D6E-409C-BE32-E72D297353CC}">
              <c16:uniqueId val="{00000001-69DC-5B4C-9B46-FD25383C0330}"/>
            </c:ext>
          </c:extLst>
        </c:ser>
        <c:dLbls>
          <c:showLegendKey val="0"/>
          <c:showVal val="0"/>
          <c:showCatName val="0"/>
          <c:showSerName val="0"/>
          <c:showPercent val="0"/>
          <c:showBubbleSize val="0"/>
        </c:dLbls>
        <c:gapWidth val="150"/>
        <c:axId val="-1868601040"/>
        <c:axId val="-1867916736"/>
      </c:barChart>
      <c:lineChart>
        <c:grouping val="standard"/>
        <c:varyColors val="0"/>
        <c:ser>
          <c:idx val="2"/>
          <c:order val="2"/>
          <c:tx>
            <c:strRef>
              <c:f>Planilha1!$D$1</c:f>
              <c:strCache>
                <c:ptCount val="1"/>
                <c:pt idx="0">
                  <c:v>Capital Financeiro Fluminense</c:v>
                </c:pt>
              </c:strCache>
            </c:strRef>
          </c:tx>
          <c:spPr>
            <a:ln w="28575" cap="rnd">
              <a:solidFill>
                <a:schemeClr val="accent3"/>
              </a:solidFill>
              <a:round/>
            </a:ln>
            <a:effectLst/>
          </c:spPr>
          <c:marker>
            <c:symbol val="none"/>
          </c:marker>
          <c:cat>
            <c:strRef>
              <c:f>Planilha1!$A$2:$A$8</c:f>
              <c:strCache>
                <c:ptCount val="7"/>
                <c:pt idx="0">
                  <c:v>1859-1860</c:v>
                </c:pt>
                <c:pt idx="1">
                  <c:v>1864-1865</c:v>
                </c:pt>
                <c:pt idx="2">
                  <c:v>1869-1870</c:v>
                </c:pt>
                <c:pt idx="3">
                  <c:v>1874-1875</c:v>
                </c:pt>
                <c:pt idx="4">
                  <c:v>1879-1880</c:v>
                </c:pt>
                <c:pt idx="5">
                  <c:v>1884-1885</c:v>
                </c:pt>
                <c:pt idx="6">
                  <c:v>1888-1889</c:v>
                </c:pt>
              </c:strCache>
            </c:strRef>
          </c:cat>
          <c:val>
            <c:numRef>
              <c:f>Planilha1!$D$2:$D$8</c:f>
              <c:numCache>
                <c:formatCode>General</c:formatCode>
                <c:ptCount val="7"/>
                <c:pt idx="0">
                  <c:v>136500</c:v>
                </c:pt>
                <c:pt idx="1">
                  <c:v>186700</c:v>
                </c:pt>
                <c:pt idx="2">
                  <c:v>190600</c:v>
                </c:pt>
                <c:pt idx="3">
                  <c:v>249000</c:v>
                </c:pt>
                <c:pt idx="4">
                  <c:v>314600</c:v>
                </c:pt>
                <c:pt idx="5">
                  <c:v>494500</c:v>
                </c:pt>
                <c:pt idx="6">
                  <c:v>603100</c:v>
                </c:pt>
              </c:numCache>
            </c:numRef>
          </c:val>
          <c:smooth val="0"/>
          <c:extLst>
            <c:ext xmlns:c16="http://schemas.microsoft.com/office/drawing/2014/chart" uri="{C3380CC4-5D6E-409C-BE32-E72D297353CC}">
              <c16:uniqueId val="{00000002-69DC-5B4C-9B46-FD25383C0330}"/>
            </c:ext>
          </c:extLst>
        </c:ser>
        <c:ser>
          <c:idx val="3"/>
          <c:order val="3"/>
          <c:tx>
            <c:strRef>
              <c:f>Planilha1!$E$1</c:f>
              <c:strCache>
                <c:ptCount val="1"/>
                <c:pt idx="0">
                  <c:v>Capital Financeiro Paulista</c:v>
                </c:pt>
              </c:strCache>
            </c:strRef>
          </c:tx>
          <c:spPr>
            <a:ln w="28575" cap="rnd">
              <a:solidFill>
                <a:schemeClr val="accent4"/>
              </a:solidFill>
              <a:round/>
            </a:ln>
            <a:effectLst/>
          </c:spPr>
          <c:marker>
            <c:symbol val="none"/>
          </c:marker>
          <c:cat>
            <c:strRef>
              <c:f>Planilha1!$A$2:$A$8</c:f>
              <c:strCache>
                <c:ptCount val="7"/>
                <c:pt idx="0">
                  <c:v>1859-1860</c:v>
                </c:pt>
                <c:pt idx="1">
                  <c:v>1864-1865</c:v>
                </c:pt>
                <c:pt idx="2">
                  <c:v>1869-1870</c:v>
                </c:pt>
                <c:pt idx="3">
                  <c:v>1874-1875</c:v>
                </c:pt>
                <c:pt idx="4">
                  <c:v>1879-1880</c:v>
                </c:pt>
                <c:pt idx="5">
                  <c:v>1884-1885</c:v>
                </c:pt>
                <c:pt idx="6">
                  <c:v>1888-1889</c:v>
                </c:pt>
              </c:strCache>
            </c:strRef>
          </c:cat>
          <c:val>
            <c:numRef>
              <c:f>Planilha1!$E$2:$E$8</c:f>
              <c:numCache>
                <c:formatCode>General</c:formatCode>
                <c:ptCount val="7"/>
                <c:pt idx="0">
                  <c:v>6933</c:v>
                </c:pt>
                <c:pt idx="1">
                  <c:v>7816</c:v>
                </c:pt>
                <c:pt idx="2">
                  <c:v>2933</c:v>
                </c:pt>
                <c:pt idx="3">
                  <c:v>16030</c:v>
                </c:pt>
                <c:pt idx="4">
                  <c:v>24432</c:v>
                </c:pt>
                <c:pt idx="5">
                  <c:v>68457</c:v>
                </c:pt>
                <c:pt idx="6">
                  <c:v>89678</c:v>
                </c:pt>
              </c:numCache>
            </c:numRef>
          </c:val>
          <c:smooth val="0"/>
          <c:extLst>
            <c:ext xmlns:c16="http://schemas.microsoft.com/office/drawing/2014/chart" uri="{C3380CC4-5D6E-409C-BE32-E72D297353CC}">
              <c16:uniqueId val="{00000003-69DC-5B4C-9B46-FD25383C0330}"/>
            </c:ext>
          </c:extLst>
        </c:ser>
        <c:dLbls>
          <c:showLegendKey val="0"/>
          <c:showVal val="0"/>
          <c:showCatName val="0"/>
          <c:showSerName val="0"/>
          <c:showPercent val="0"/>
          <c:showBubbleSize val="0"/>
        </c:dLbls>
        <c:marker val="1"/>
        <c:smooth val="0"/>
        <c:axId val="-1868601040"/>
        <c:axId val="-1867916736"/>
      </c:lineChart>
      <c:catAx>
        <c:axId val="-186860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67916736"/>
        <c:crosses val="autoZero"/>
        <c:auto val="1"/>
        <c:lblAlgn val="ctr"/>
        <c:lblOffset val="100"/>
        <c:noMultiLvlLbl val="0"/>
      </c:catAx>
      <c:valAx>
        <c:axId val="-1867916736"/>
        <c:scaling>
          <c:logBase val="10"/>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6860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629</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Goyena Soares</dc:creator>
  <cp:keywords/>
  <dc:description/>
  <cp:lastModifiedBy>Rodrigo Goyena Soares</cp:lastModifiedBy>
  <cp:revision>10</cp:revision>
  <dcterms:created xsi:type="dcterms:W3CDTF">2021-11-30T18:29:00Z</dcterms:created>
  <dcterms:modified xsi:type="dcterms:W3CDTF">2021-11-30T21:17:00Z</dcterms:modified>
</cp:coreProperties>
</file>