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014" w:rsidRPr="005B5F70" w:rsidRDefault="00BA3014" w:rsidP="00BA3014">
      <w:pPr>
        <w:pStyle w:val="Ttulo1"/>
        <w:spacing w:before="0" w:after="80" w:line="240" w:lineRule="auto"/>
        <w:jc w:val="center"/>
        <w:rPr>
          <w:rFonts w:ascii="Calibri Light" w:hAnsi="Calibri Light" w:cs="Lucida Sans Unicode"/>
          <w:sz w:val="28"/>
          <w:szCs w:val="28"/>
          <w:lang w:val="pt-BR"/>
        </w:rPr>
      </w:pPr>
      <w:r w:rsidRPr="005B5F70">
        <w:rPr>
          <w:rFonts w:ascii="Calibri Light" w:hAnsi="Calibri Light" w:cs="Lucida Sans Unicode"/>
          <w:sz w:val="28"/>
          <w:szCs w:val="28"/>
          <w:lang w:val="pt-BR"/>
        </w:rPr>
        <w:t>BRI0024 – Economia Internacional II</w:t>
      </w:r>
    </w:p>
    <w:p w:rsidR="00BA3014" w:rsidRPr="00BA3014" w:rsidRDefault="00BA3014" w:rsidP="00BA3014">
      <w:pPr>
        <w:jc w:val="center"/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</w:pPr>
      <w:r w:rsidRPr="00BA3014"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 xml:space="preserve">Exercício de </w:t>
      </w:r>
      <w:r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 xml:space="preserve">fixação </w:t>
      </w:r>
    </w:p>
    <w:p w:rsidR="00BA3014" w:rsidRPr="005B5F70" w:rsidRDefault="00BA3014" w:rsidP="00BA3014">
      <w:pPr>
        <w:jc w:val="center"/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</w:pPr>
      <w:r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>Aula 2 – Determinação da taxa de câmbio</w:t>
      </w:r>
    </w:p>
    <w:p w:rsidR="00374350" w:rsidRPr="00BA3014" w:rsidRDefault="005467F1">
      <w:pPr>
        <w:rPr>
          <w:lang w:val="pt-BR"/>
        </w:rPr>
      </w:pPr>
    </w:p>
    <w:p w:rsidR="00BA3014" w:rsidRDefault="00BA3014"/>
    <w:p w:rsidR="00BA3014" w:rsidRDefault="00BA3014" w:rsidP="00BA3014">
      <w:pPr>
        <w:pStyle w:val="PargrafodaLista"/>
        <w:numPr>
          <w:ilvl w:val="0"/>
          <w:numId w:val="2"/>
        </w:numPr>
        <w:tabs>
          <w:tab w:val="left" w:pos="941"/>
        </w:tabs>
        <w:spacing w:before="56"/>
        <w:ind w:hanging="361"/>
      </w:pPr>
      <w:r>
        <w:t>Paridade de juros: condição de</w:t>
      </w:r>
      <w:r>
        <w:rPr>
          <w:spacing w:val="-3"/>
        </w:rPr>
        <w:t xml:space="preserve"> </w:t>
      </w:r>
      <w:r>
        <w:t>equilíbrio.</w:t>
      </w:r>
    </w:p>
    <w:p w:rsidR="00BA3014" w:rsidRDefault="00BA3014" w:rsidP="00BA3014">
      <w:pPr>
        <w:spacing w:before="1"/>
        <w:ind w:left="220" w:right="579"/>
      </w:pPr>
      <w:r>
        <w:rPr>
          <w:i/>
        </w:rPr>
        <w:t xml:space="preserve">"O mercado de câmbio está em equilíbrio quando os depósitos de todas as moedas oferecem a mesma taxa de rendimento esperada" </w:t>
      </w:r>
      <w:proofErr w:type="spellStart"/>
      <w:r>
        <w:t>Krugman-Obstfeld</w:t>
      </w:r>
      <w:proofErr w:type="spellEnd"/>
      <w:r>
        <w:t>, p.357</w:t>
      </w:r>
    </w:p>
    <w:p w:rsidR="00BA3014" w:rsidRDefault="00BA3014" w:rsidP="00BA3014">
      <w:pPr>
        <w:pStyle w:val="PargrafodaLista"/>
        <w:numPr>
          <w:ilvl w:val="0"/>
          <w:numId w:val="1"/>
        </w:numPr>
        <w:tabs>
          <w:tab w:val="left" w:pos="976"/>
          <w:tab w:val="left" w:pos="977"/>
        </w:tabs>
        <w:ind w:right="1046"/>
      </w:pPr>
      <w:r>
        <w:t>Tendo em conta esta afirmação, explique porque ela é verdadeira, ou seja, como se estabelece a condição de paridade de</w:t>
      </w:r>
      <w:r>
        <w:rPr>
          <w:spacing w:val="-2"/>
        </w:rPr>
        <w:t xml:space="preserve"> </w:t>
      </w:r>
      <w:r>
        <w:t>juros.</w:t>
      </w:r>
    </w:p>
    <w:p w:rsidR="00BA3014" w:rsidRDefault="00BA3014" w:rsidP="00BA3014">
      <w:pPr>
        <w:tabs>
          <w:tab w:val="left" w:pos="976"/>
          <w:tab w:val="left" w:pos="977"/>
        </w:tabs>
        <w:ind w:left="580" w:right="1046"/>
      </w:pPr>
    </w:p>
    <w:p w:rsidR="00BA3014" w:rsidRPr="00BA3014" w:rsidRDefault="00BA3014" w:rsidP="00BA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6"/>
          <w:tab w:val="left" w:pos="977"/>
        </w:tabs>
        <w:ind w:left="580" w:right="1046"/>
        <w:jc w:val="center"/>
      </w:pPr>
      <w:r w:rsidRPr="00BA3014">
        <w:rPr>
          <w:sz w:val="28"/>
          <w:szCs w:val="28"/>
        </w:rPr>
        <w:t>R</w:t>
      </w:r>
      <w:r w:rsidRPr="00BA3014">
        <w:rPr>
          <w:sz w:val="28"/>
          <w:szCs w:val="28"/>
          <w:vertAlign w:val="subscript"/>
        </w:rPr>
        <w:t>US$</w:t>
      </w:r>
      <w:r w:rsidRPr="00BA3014">
        <w:rPr>
          <w:sz w:val="28"/>
          <w:szCs w:val="28"/>
        </w:rPr>
        <w:t xml:space="preserve"> = R</w:t>
      </w:r>
      <w:r w:rsidRPr="00BA3014">
        <w:rPr>
          <w:sz w:val="28"/>
          <w:szCs w:val="28"/>
          <w:vertAlign w:val="subscript"/>
        </w:rPr>
        <w:t>€</w:t>
      </w:r>
      <w:r w:rsidRPr="00BA3014">
        <w:rPr>
          <w:sz w:val="28"/>
          <w:szCs w:val="28"/>
        </w:rPr>
        <w:t xml:space="preserve"> + </w:t>
      </w:r>
      <w:proofErr w:type="spellStart"/>
      <w:r w:rsidRPr="00BA3014">
        <w:rPr>
          <w:sz w:val="28"/>
          <w:szCs w:val="28"/>
        </w:rPr>
        <w:t>E</w:t>
      </w:r>
      <w:r w:rsidRPr="00BA3014">
        <w:rPr>
          <w:sz w:val="28"/>
          <w:szCs w:val="28"/>
          <w:vertAlign w:val="superscript"/>
        </w:rPr>
        <w:t>e</w:t>
      </w:r>
      <w:r w:rsidRPr="00BA3014">
        <w:rPr>
          <w:sz w:val="28"/>
          <w:szCs w:val="28"/>
          <w:vertAlign w:val="subscript"/>
        </w:rPr>
        <w:t>US</w:t>
      </w:r>
      <w:proofErr w:type="spellEnd"/>
      <w:r w:rsidRPr="00BA3014">
        <w:rPr>
          <w:sz w:val="28"/>
          <w:szCs w:val="28"/>
          <w:vertAlign w:val="subscript"/>
        </w:rPr>
        <w:t>$/€</w:t>
      </w:r>
      <w:r w:rsidRPr="00BA3014">
        <w:rPr>
          <w:sz w:val="28"/>
          <w:szCs w:val="28"/>
        </w:rPr>
        <w:t xml:space="preserve"> - E</w:t>
      </w:r>
      <w:r w:rsidRPr="00BA3014">
        <w:rPr>
          <w:sz w:val="28"/>
          <w:szCs w:val="28"/>
          <w:vertAlign w:val="subscript"/>
        </w:rPr>
        <w:t>US$/</w:t>
      </w:r>
      <w:proofErr w:type="gramStart"/>
      <w:r w:rsidRPr="00BA3014">
        <w:rPr>
          <w:sz w:val="28"/>
          <w:szCs w:val="28"/>
          <w:vertAlign w:val="subscript"/>
        </w:rPr>
        <w:t>€</w:t>
      </w:r>
      <w:r w:rsidRPr="00BA3014">
        <w:rPr>
          <w:sz w:val="28"/>
          <w:szCs w:val="28"/>
        </w:rPr>
        <w:t>)/</w:t>
      </w:r>
      <w:proofErr w:type="gramEnd"/>
      <w:r w:rsidRPr="00BA3014">
        <w:rPr>
          <w:sz w:val="28"/>
          <w:szCs w:val="28"/>
        </w:rPr>
        <w:t xml:space="preserve"> </w:t>
      </w:r>
      <w:r w:rsidRPr="00BA3014">
        <w:rPr>
          <w:sz w:val="28"/>
          <w:szCs w:val="28"/>
        </w:rPr>
        <w:t>E</w:t>
      </w:r>
      <w:r w:rsidRPr="00BA3014">
        <w:rPr>
          <w:sz w:val="28"/>
          <w:szCs w:val="28"/>
          <w:vertAlign w:val="subscript"/>
        </w:rPr>
        <w:t>US$/€</w:t>
      </w:r>
      <w:r w:rsidRPr="00BA301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A3014">
        <w:rPr>
          <w:sz w:val="20"/>
          <w:szCs w:val="20"/>
        </w:rPr>
        <w:t>(</w:t>
      </w:r>
      <w:r w:rsidRPr="00BA3014">
        <w:rPr>
          <w:sz w:val="18"/>
          <w:szCs w:val="18"/>
        </w:rPr>
        <w:t>equação 14.2</w:t>
      </w:r>
      <w:r>
        <w:rPr>
          <w:sz w:val="18"/>
          <w:szCs w:val="18"/>
        </w:rPr>
        <w:t>, p. 286 KOM)</w:t>
      </w:r>
    </w:p>
    <w:p w:rsidR="00BA3014" w:rsidRDefault="00BA3014" w:rsidP="00BA3014">
      <w:pPr>
        <w:pStyle w:val="Corpodetexto"/>
        <w:spacing w:before="1"/>
        <w:rPr>
          <w:sz w:val="19"/>
        </w:rPr>
      </w:pPr>
    </w:p>
    <w:p w:rsidR="00BA3014" w:rsidRDefault="00BA3014" w:rsidP="00BA3014">
      <w:pPr>
        <w:pStyle w:val="Corpodetexto"/>
      </w:pPr>
    </w:p>
    <w:p w:rsidR="00BA3014" w:rsidRDefault="00BA3014" w:rsidP="00BA3014">
      <w:pPr>
        <w:pStyle w:val="Corpodetexto"/>
        <w:spacing w:before="4"/>
        <w:rPr>
          <w:sz w:val="16"/>
        </w:rPr>
      </w:pPr>
    </w:p>
    <w:p w:rsidR="00BA3014" w:rsidRDefault="00BA3014" w:rsidP="00BA3014">
      <w:pPr>
        <w:pStyle w:val="Corpodetexto"/>
        <w:ind w:left="976" w:right="579"/>
      </w:pPr>
      <w:r>
        <w:rPr>
          <w:color w:val="FF0000"/>
        </w:rPr>
        <w:t>O mercado de câmbio está em equilíbrio quando os retornos esperados sobre os depósitos de determinado par de moedas são iguais, se medidos em uma mesma moeda.</w:t>
      </w:r>
    </w:p>
    <w:p w:rsidR="00BA3014" w:rsidRDefault="00BA3014" w:rsidP="00BA3014">
      <w:pPr>
        <w:pStyle w:val="Corpodetexto"/>
        <w:spacing w:before="1"/>
      </w:pPr>
    </w:p>
    <w:p w:rsidR="00BA3014" w:rsidRPr="00FA0700" w:rsidRDefault="00FA0700" w:rsidP="00BA3014">
      <w:pPr>
        <w:pStyle w:val="PargrafodaLista"/>
        <w:numPr>
          <w:ilvl w:val="0"/>
          <w:numId w:val="1"/>
        </w:numPr>
        <w:tabs>
          <w:tab w:val="left" w:pos="976"/>
          <w:tab w:val="left" w:pos="977"/>
        </w:tabs>
        <w:ind w:hanging="397"/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3502733A" wp14:editId="3A0B561B">
            <wp:simplePos x="0" y="0"/>
            <wp:positionH relativeFrom="page">
              <wp:posOffset>1238250</wp:posOffset>
            </wp:positionH>
            <wp:positionV relativeFrom="paragraph">
              <wp:posOffset>247650</wp:posOffset>
            </wp:positionV>
            <wp:extent cx="2886075" cy="2063115"/>
            <wp:effectExtent l="0" t="0" r="0" b="0"/>
            <wp:wrapTopAndBottom/>
            <wp:docPr id="3" name="image2.png" descr="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014">
        <w:t>Faça um gráfico para ilustrar sua</w:t>
      </w:r>
      <w:r w:rsidR="00BA3014">
        <w:rPr>
          <w:spacing w:val="-4"/>
        </w:rPr>
        <w:t xml:space="preserve"> </w:t>
      </w:r>
      <w:r w:rsidR="00BA3014">
        <w:t>resposta.</w:t>
      </w:r>
    </w:p>
    <w:p w:rsidR="00BA3014" w:rsidRDefault="00BA3014" w:rsidP="00BA3014">
      <w:pPr>
        <w:pStyle w:val="Corpodetexto"/>
      </w:pPr>
    </w:p>
    <w:p w:rsidR="00BA3014" w:rsidRDefault="00BA3014" w:rsidP="00BA3014">
      <w:pPr>
        <w:pStyle w:val="Corpodetexto"/>
        <w:spacing w:before="10"/>
        <w:rPr>
          <w:sz w:val="20"/>
        </w:rPr>
      </w:pPr>
    </w:p>
    <w:p w:rsidR="00BA3014" w:rsidRDefault="00BA3014" w:rsidP="00BA3014">
      <w:pPr>
        <w:pStyle w:val="PargrafodaLista"/>
        <w:numPr>
          <w:ilvl w:val="0"/>
          <w:numId w:val="1"/>
        </w:numPr>
        <w:tabs>
          <w:tab w:val="left" w:pos="976"/>
          <w:tab w:val="left" w:pos="977"/>
        </w:tabs>
        <w:spacing w:before="1"/>
        <w:ind w:right="569"/>
      </w:pPr>
      <w:r>
        <w:t>De que forma as atuações dos bancos centrais (de distintos países) pode influir sobre uma situação de equilíbrio de paridade de</w:t>
      </w:r>
      <w:r>
        <w:rPr>
          <w:spacing w:val="-1"/>
        </w:rPr>
        <w:t xml:space="preserve"> </w:t>
      </w:r>
      <w:r>
        <w:t>juros?</w:t>
      </w:r>
    </w:p>
    <w:p w:rsidR="00BA3014" w:rsidRDefault="00BA3014" w:rsidP="00BA3014">
      <w:pPr>
        <w:pStyle w:val="Corpodetexto"/>
      </w:pPr>
    </w:p>
    <w:p w:rsidR="00BA3014" w:rsidRDefault="00BA3014" w:rsidP="00C7093F">
      <w:pPr>
        <w:pStyle w:val="Corpodetexto"/>
        <w:spacing w:line="477" w:lineRule="auto"/>
        <w:ind w:left="976" w:right="4638"/>
        <w:sectPr w:rsidR="00BA3014" w:rsidSect="00BA3014">
          <w:pgSz w:w="12240" w:h="15840"/>
          <w:pgMar w:top="1420" w:right="720" w:bottom="280" w:left="860" w:header="720" w:footer="720" w:gutter="0"/>
          <w:cols w:space="720"/>
        </w:sectPr>
      </w:pPr>
      <w:r>
        <w:rPr>
          <w:color w:val="FF0000"/>
        </w:rPr>
        <w:t xml:space="preserve">No gráfico anterior, podemos pensar em duas situações: </w:t>
      </w:r>
      <w:r w:rsidR="00C7093F">
        <w:rPr>
          <w:color w:val="FF0000"/>
        </w:rPr>
        <w:t>(i)</w:t>
      </w:r>
      <w:r>
        <w:rPr>
          <w:color w:val="FF0000"/>
        </w:rPr>
        <w:t xml:space="preserve"> </w:t>
      </w:r>
      <w:r w:rsidR="00FA0700">
        <w:rPr>
          <w:color w:val="FF0000"/>
        </w:rPr>
        <w:t xml:space="preserve">- </w:t>
      </w:r>
      <w:r>
        <w:rPr>
          <w:color w:val="FF0000"/>
        </w:rPr>
        <w:t>Aumento na taxa de juros do dólar</w:t>
      </w:r>
    </w:p>
    <w:p w:rsidR="00BA3014" w:rsidRDefault="00BA3014" w:rsidP="00BA3014">
      <w:pPr>
        <w:pStyle w:val="Corpodetexto"/>
        <w:spacing w:before="4"/>
        <w:rPr>
          <w:sz w:val="7"/>
        </w:rPr>
      </w:pPr>
    </w:p>
    <w:p w:rsidR="00BA3014" w:rsidRDefault="00BA3014" w:rsidP="00BA3014">
      <w:pPr>
        <w:pStyle w:val="Corpodetexto"/>
        <w:ind w:left="1337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5FF32213" wp14:editId="0D6F0BB2">
            <wp:extent cx="2846483" cy="1752435"/>
            <wp:effectExtent l="0" t="0" r="0" b="635"/>
            <wp:docPr id="5" name="image3.jpeg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175" cy="17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014" w:rsidRDefault="00BA3014" w:rsidP="00BA3014">
      <w:pPr>
        <w:pStyle w:val="Corpodetexto"/>
        <w:rPr>
          <w:sz w:val="20"/>
        </w:rPr>
      </w:pPr>
    </w:p>
    <w:p w:rsidR="00BA3014" w:rsidRDefault="00BA3014" w:rsidP="00BA3014">
      <w:pPr>
        <w:pStyle w:val="Corpodetexto"/>
        <w:rPr>
          <w:sz w:val="20"/>
        </w:rPr>
      </w:pPr>
    </w:p>
    <w:p w:rsidR="00BA3014" w:rsidRDefault="00BA3014" w:rsidP="00BA3014">
      <w:pPr>
        <w:pStyle w:val="Corpodetexto"/>
        <w:spacing w:before="10"/>
        <w:rPr>
          <w:sz w:val="19"/>
        </w:rPr>
      </w:pPr>
    </w:p>
    <w:p w:rsidR="00BA3014" w:rsidRDefault="00FA0700" w:rsidP="00BA3014">
      <w:pPr>
        <w:pStyle w:val="Corpodetexto"/>
        <w:spacing w:before="57"/>
        <w:ind w:left="976"/>
      </w:pP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 wp14:anchorId="78206881" wp14:editId="0E560996">
            <wp:simplePos x="0" y="0"/>
            <wp:positionH relativeFrom="page">
              <wp:posOffset>1397000</wp:posOffset>
            </wp:positionH>
            <wp:positionV relativeFrom="paragraph">
              <wp:posOffset>319405</wp:posOffset>
            </wp:positionV>
            <wp:extent cx="3639820" cy="2078355"/>
            <wp:effectExtent l="0" t="0" r="5080" b="4445"/>
            <wp:wrapTopAndBottom/>
            <wp:docPr id="7" name="image4.jpeg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93F">
        <w:rPr>
          <w:color w:val="FF0000"/>
        </w:rPr>
        <w:t>(</w:t>
      </w:r>
      <w:proofErr w:type="spellStart"/>
      <w:r w:rsidR="00C7093F">
        <w:rPr>
          <w:color w:val="FF0000"/>
        </w:rPr>
        <w:t>ii</w:t>
      </w:r>
      <w:proofErr w:type="spellEnd"/>
      <w:r w:rsidR="00C7093F">
        <w:rPr>
          <w:color w:val="FF0000"/>
        </w:rPr>
        <w:t>)</w:t>
      </w:r>
      <w:r>
        <w:rPr>
          <w:color w:val="FF0000"/>
        </w:rPr>
        <w:t xml:space="preserve"> -</w:t>
      </w:r>
      <w:r w:rsidR="00BA3014">
        <w:rPr>
          <w:color w:val="FF0000"/>
        </w:rPr>
        <w:t xml:space="preserve"> Aumento na taxa de juros do euro</w:t>
      </w:r>
    </w:p>
    <w:p w:rsidR="00BA3014" w:rsidRDefault="00BA3014" w:rsidP="00BA3014">
      <w:pPr>
        <w:pStyle w:val="Corpodetexto"/>
        <w:spacing w:before="3"/>
        <w:rPr>
          <w:sz w:val="28"/>
        </w:rPr>
      </w:pPr>
    </w:p>
    <w:p w:rsidR="00BA3014" w:rsidRDefault="00BA3014" w:rsidP="00BA3014">
      <w:pPr>
        <w:pStyle w:val="Corpodetexto"/>
      </w:pPr>
    </w:p>
    <w:p w:rsidR="00BA3014" w:rsidRDefault="00BA3014" w:rsidP="00BA3014">
      <w:pPr>
        <w:pStyle w:val="Corpodetexto"/>
      </w:pPr>
    </w:p>
    <w:p w:rsidR="00BA3014" w:rsidRDefault="00C7093F" w:rsidP="00FA0700">
      <w:pPr>
        <w:pStyle w:val="Corpodetexto"/>
        <w:numPr>
          <w:ilvl w:val="0"/>
          <w:numId w:val="2"/>
        </w:numPr>
      </w:pPr>
      <w:r>
        <w:t>Calcule as taxas de retorno em dólar dos seguintes ativos:</w:t>
      </w:r>
    </w:p>
    <w:p w:rsidR="00C7093F" w:rsidRDefault="00C7093F" w:rsidP="00BA3014">
      <w:pPr>
        <w:pStyle w:val="Corpodetexto"/>
      </w:pPr>
    </w:p>
    <w:p w:rsidR="00BA3014" w:rsidRDefault="00FA0700" w:rsidP="00FA0700">
      <w:pPr>
        <w:pStyle w:val="PargrafodaLista"/>
        <w:numPr>
          <w:ilvl w:val="1"/>
          <w:numId w:val="2"/>
        </w:numPr>
      </w:pPr>
      <w:r>
        <w:t>Um quadro cujo preço aumenta de US$ 200.000 para US$ 250.000 em um ano.</w:t>
      </w:r>
    </w:p>
    <w:p w:rsidR="00FA0700" w:rsidRPr="00FA0700" w:rsidRDefault="00FA0700" w:rsidP="00FA0700">
      <w:pPr>
        <w:ind w:left="938"/>
        <w:rPr>
          <w:color w:val="FF0000"/>
        </w:rPr>
      </w:pPr>
      <w:r w:rsidRPr="00FA0700">
        <w:rPr>
          <w:color w:val="FF0000"/>
        </w:rPr>
        <w:t>25%</w:t>
      </w:r>
      <w:r>
        <w:rPr>
          <w:color w:val="FF0000"/>
        </w:rPr>
        <w:t xml:space="preserve"> =&gt; 250/200=1,25</w:t>
      </w:r>
    </w:p>
    <w:p w:rsidR="00FA0700" w:rsidRDefault="00FA0700" w:rsidP="00FA0700">
      <w:pPr>
        <w:pStyle w:val="PargrafodaLista"/>
        <w:numPr>
          <w:ilvl w:val="1"/>
          <w:numId w:val="2"/>
        </w:numPr>
      </w:pPr>
      <w:r>
        <w:t xml:space="preserve">Uma garrafa de um caro Borgonha, </w:t>
      </w:r>
      <w:proofErr w:type="spellStart"/>
      <w:r>
        <w:t>Domaine</w:t>
      </w:r>
      <w:proofErr w:type="spellEnd"/>
      <w:r>
        <w:t xml:space="preserve"> de la </w:t>
      </w:r>
      <w:proofErr w:type="spellStart"/>
      <w:r>
        <w:t>Romanée-Conti</w:t>
      </w:r>
      <w:proofErr w:type="spellEnd"/>
      <w:r>
        <w:t xml:space="preserve"> 2011, cujo preço passa de US$ 255 para US$ 275 entre 2013 e 2014.</w:t>
      </w:r>
    </w:p>
    <w:p w:rsidR="00FA0700" w:rsidRPr="00FA0700" w:rsidRDefault="00FA0700" w:rsidP="00FA0700">
      <w:pPr>
        <w:ind w:left="938"/>
        <w:rPr>
          <w:color w:val="FF0000"/>
        </w:rPr>
      </w:pPr>
      <w:r w:rsidRPr="00FA0700">
        <w:rPr>
          <w:color w:val="FF0000"/>
        </w:rPr>
        <w:t>7,84% =&gt; 275/255=1,078431</w:t>
      </w:r>
    </w:p>
    <w:p w:rsidR="00FA0700" w:rsidRDefault="00FA0700" w:rsidP="00FA0700">
      <w:pPr>
        <w:pStyle w:val="PargrafodaLista"/>
        <w:numPr>
          <w:ilvl w:val="1"/>
          <w:numId w:val="2"/>
        </w:numPr>
      </w:pPr>
      <w:r>
        <w:t>Um depósito de £ 10.000 em um banco de Londres em um ano no qual a taxa de juros em libras é 10% e a taxa de câmbio vai de US$ 1,50 para US$ 1,38 por libra.</w:t>
      </w:r>
    </w:p>
    <w:p w:rsidR="005467F1" w:rsidRDefault="005467F1" w:rsidP="00FA0700">
      <w:pPr>
        <w:ind w:left="938"/>
      </w:pPr>
    </w:p>
    <w:p w:rsidR="00FA0700" w:rsidRPr="005467F1" w:rsidRDefault="00FA0700" w:rsidP="00FA0700">
      <w:pPr>
        <w:ind w:left="938"/>
        <w:rPr>
          <w:color w:val="FF0000"/>
          <w:vertAlign w:val="subscript"/>
        </w:rPr>
      </w:pPr>
      <w:r w:rsidRPr="005467F1">
        <w:rPr>
          <w:color w:val="FF0000"/>
        </w:rPr>
        <w:t>£ 10.000</w:t>
      </w:r>
      <w:r w:rsidRPr="005467F1">
        <w:rPr>
          <w:color w:val="FF0000"/>
        </w:rPr>
        <w:t xml:space="preserve"> = US$ 15.000 em t</w:t>
      </w:r>
      <w:r w:rsidRPr="005467F1">
        <w:rPr>
          <w:color w:val="FF0000"/>
          <w:vertAlign w:val="subscript"/>
        </w:rPr>
        <w:t>0</w:t>
      </w:r>
    </w:p>
    <w:p w:rsidR="005467F1" w:rsidRPr="005467F1" w:rsidRDefault="005467F1" w:rsidP="00FA0700">
      <w:pPr>
        <w:ind w:left="938"/>
        <w:rPr>
          <w:color w:val="FF0000"/>
        </w:rPr>
      </w:pPr>
    </w:p>
    <w:p w:rsidR="00FA0700" w:rsidRPr="005467F1" w:rsidRDefault="00FA0700" w:rsidP="00FA0700">
      <w:pPr>
        <w:ind w:left="938"/>
        <w:rPr>
          <w:color w:val="FF0000"/>
        </w:rPr>
      </w:pPr>
      <w:r w:rsidRPr="005467F1">
        <w:rPr>
          <w:color w:val="FF0000"/>
        </w:rPr>
        <w:t>Variação cambial</w:t>
      </w:r>
      <w:r w:rsidR="005467F1" w:rsidRPr="005467F1">
        <w:rPr>
          <w:color w:val="FF0000"/>
        </w:rPr>
        <w:t>: 1,38/1,50 = 0,92 =&gt; - 8%, ou seja, o dólar apreciou</w:t>
      </w:r>
    </w:p>
    <w:p w:rsidR="005467F1" w:rsidRPr="005467F1" w:rsidRDefault="005467F1" w:rsidP="00FA0700">
      <w:pPr>
        <w:ind w:left="938"/>
        <w:rPr>
          <w:color w:val="FF0000"/>
        </w:rPr>
      </w:pPr>
      <w:r w:rsidRPr="005467F1">
        <w:rPr>
          <w:color w:val="FF0000"/>
        </w:rPr>
        <w:t>Depósito em t</w:t>
      </w:r>
      <w:r w:rsidRPr="005467F1">
        <w:rPr>
          <w:color w:val="FF0000"/>
          <w:vertAlign w:val="subscript"/>
        </w:rPr>
        <w:t>1</w:t>
      </w:r>
      <w:r w:rsidRPr="005467F1">
        <w:rPr>
          <w:color w:val="FF0000"/>
        </w:rPr>
        <w:t xml:space="preserve">: </w:t>
      </w:r>
      <w:r w:rsidRPr="005467F1">
        <w:rPr>
          <w:color w:val="FF0000"/>
        </w:rPr>
        <w:t>£</w:t>
      </w:r>
      <w:r w:rsidRPr="005467F1">
        <w:rPr>
          <w:color w:val="FF0000"/>
        </w:rPr>
        <w:t xml:space="preserve"> 11.000 (10% aa) =&gt; em </w:t>
      </w:r>
      <w:r w:rsidRPr="005467F1">
        <w:rPr>
          <w:color w:val="FF0000"/>
        </w:rPr>
        <w:t>£</w:t>
      </w:r>
      <w:r w:rsidRPr="005467F1">
        <w:rPr>
          <w:color w:val="FF0000"/>
        </w:rPr>
        <w:t xml:space="preserve"> 11.000 x 1,38 = US$ 15.180</w:t>
      </w:r>
    </w:p>
    <w:p w:rsidR="005467F1" w:rsidRPr="005467F1" w:rsidRDefault="005467F1" w:rsidP="00FA0700">
      <w:pPr>
        <w:ind w:left="938"/>
        <w:rPr>
          <w:color w:val="FF0000"/>
        </w:rPr>
      </w:pPr>
      <w:r w:rsidRPr="005467F1">
        <w:rPr>
          <w:color w:val="FF0000"/>
        </w:rPr>
        <w:t xml:space="preserve">Rendimento </w:t>
      </w:r>
      <w:r>
        <w:rPr>
          <w:color w:val="FF0000"/>
        </w:rPr>
        <w:t>em t</w:t>
      </w:r>
      <w:r w:rsidRPr="005467F1">
        <w:rPr>
          <w:color w:val="FF0000"/>
          <w:vertAlign w:val="subscript"/>
        </w:rPr>
        <w:t>1</w:t>
      </w:r>
      <w:r w:rsidRPr="005467F1">
        <w:rPr>
          <w:color w:val="FF0000"/>
        </w:rPr>
        <w:t>: 15180/15000 = 1,012 =&gt; 1,2%</w:t>
      </w:r>
    </w:p>
    <w:p w:rsidR="00BA3014" w:rsidRDefault="00BA3014"/>
    <w:p w:rsidR="00BA3014" w:rsidRDefault="00BA3014"/>
    <w:sectPr w:rsidR="00BA3014" w:rsidSect="00E23BE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C0A1D"/>
    <w:multiLevelType w:val="hybridMultilevel"/>
    <w:tmpl w:val="336AB8BC"/>
    <w:lvl w:ilvl="0" w:tplc="A3B0322C">
      <w:start w:val="1"/>
      <w:numFmt w:val="lowerLetter"/>
      <w:lvlText w:val="%1."/>
      <w:lvlJc w:val="left"/>
      <w:pPr>
        <w:ind w:left="976" w:hanging="3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4C64E7E4">
      <w:numFmt w:val="bullet"/>
      <w:lvlText w:val="•"/>
      <w:lvlJc w:val="left"/>
      <w:pPr>
        <w:ind w:left="1340" w:hanging="396"/>
      </w:pPr>
      <w:rPr>
        <w:rFonts w:hint="default"/>
        <w:lang w:val="pt-PT" w:eastAsia="pt-PT" w:bidi="pt-PT"/>
      </w:rPr>
    </w:lvl>
    <w:lvl w:ilvl="2" w:tplc="C4B85CFA">
      <w:numFmt w:val="bullet"/>
      <w:lvlText w:val="•"/>
      <w:lvlJc w:val="left"/>
      <w:pPr>
        <w:ind w:left="2375" w:hanging="396"/>
      </w:pPr>
      <w:rPr>
        <w:rFonts w:hint="default"/>
        <w:lang w:val="pt-PT" w:eastAsia="pt-PT" w:bidi="pt-PT"/>
      </w:rPr>
    </w:lvl>
    <w:lvl w:ilvl="3" w:tplc="7FA8EF06">
      <w:numFmt w:val="bullet"/>
      <w:lvlText w:val="•"/>
      <w:lvlJc w:val="left"/>
      <w:pPr>
        <w:ind w:left="3411" w:hanging="396"/>
      </w:pPr>
      <w:rPr>
        <w:rFonts w:hint="default"/>
        <w:lang w:val="pt-PT" w:eastAsia="pt-PT" w:bidi="pt-PT"/>
      </w:rPr>
    </w:lvl>
    <w:lvl w:ilvl="4" w:tplc="3F0E4D6E">
      <w:numFmt w:val="bullet"/>
      <w:lvlText w:val="•"/>
      <w:lvlJc w:val="left"/>
      <w:pPr>
        <w:ind w:left="4446" w:hanging="396"/>
      </w:pPr>
      <w:rPr>
        <w:rFonts w:hint="default"/>
        <w:lang w:val="pt-PT" w:eastAsia="pt-PT" w:bidi="pt-PT"/>
      </w:rPr>
    </w:lvl>
    <w:lvl w:ilvl="5" w:tplc="09F2E034">
      <w:numFmt w:val="bullet"/>
      <w:lvlText w:val="•"/>
      <w:lvlJc w:val="left"/>
      <w:pPr>
        <w:ind w:left="5482" w:hanging="396"/>
      </w:pPr>
      <w:rPr>
        <w:rFonts w:hint="default"/>
        <w:lang w:val="pt-PT" w:eastAsia="pt-PT" w:bidi="pt-PT"/>
      </w:rPr>
    </w:lvl>
    <w:lvl w:ilvl="6" w:tplc="E9645EEE">
      <w:numFmt w:val="bullet"/>
      <w:lvlText w:val="•"/>
      <w:lvlJc w:val="left"/>
      <w:pPr>
        <w:ind w:left="6517" w:hanging="396"/>
      </w:pPr>
      <w:rPr>
        <w:rFonts w:hint="default"/>
        <w:lang w:val="pt-PT" w:eastAsia="pt-PT" w:bidi="pt-PT"/>
      </w:rPr>
    </w:lvl>
    <w:lvl w:ilvl="7" w:tplc="69542982">
      <w:numFmt w:val="bullet"/>
      <w:lvlText w:val="•"/>
      <w:lvlJc w:val="left"/>
      <w:pPr>
        <w:ind w:left="7553" w:hanging="396"/>
      </w:pPr>
      <w:rPr>
        <w:rFonts w:hint="default"/>
        <w:lang w:val="pt-PT" w:eastAsia="pt-PT" w:bidi="pt-PT"/>
      </w:rPr>
    </w:lvl>
    <w:lvl w:ilvl="8" w:tplc="D570D682">
      <w:numFmt w:val="bullet"/>
      <w:lvlText w:val="•"/>
      <w:lvlJc w:val="left"/>
      <w:pPr>
        <w:ind w:left="8588" w:hanging="396"/>
      </w:pPr>
      <w:rPr>
        <w:rFonts w:hint="default"/>
        <w:lang w:val="pt-PT" w:eastAsia="pt-PT" w:bidi="pt-PT"/>
      </w:rPr>
    </w:lvl>
  </w:abstractNum>
  <w:abstractNum w:abstractNumId="1" w15:restartNumberingAfterBreak="0">
    <w:nsid w:val="751C07B4"/>
    <w:multiLevelType w:val="hybridMultilevel"/>
    <w:tmpl w:val="482406FA"/>
    <w:lvl w:ilvl="0" w:tplc="17021370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w w:val="100"/>
        <w:lang w:val="pt-PT" w:eastAsia="pt-PT" w:bidi="pt-PT"/>
      </w:rPr>
    </w:lvl>
    <w:lvl w:ilvl="1" w:tplc="0E367AA0">
      <w:start w:val="1"/>
      <w:numFmt w:val="lowerLetter"/>
      <w:lvlText w:val="%2."/>
      <w:lvlJc w:val="left"/>
      <w:pPr>
        <w:ind w:left="1334" w:hanging="3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E5C6A34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3" w:tplc="E96EC724">
      <w:numFmt w:val="bullet"/>
      <w:lvlText w:val="•"/>
      <w:lvlJc w:val="left"/>
      <w:pPr>
        <w:ind w:left="1660" w:hanging="360"/>
      </w:pPr>
      <w:rPr>
        <w:rFonts w:hint="default"/>
        <w:lang w:val="pt-PT" w:eastAsia="pt-PT" w:bidi="pt-PT"/>
      </w:rPr>
    </w:lvl>
    <w:lvl w:ilvl="4" w:tplc="55F288B0">
      <w:numFmt w:val="bullet"/>
      <w:lvlText w:val="•"/>
      <w:lvlJc w:val="left"/>
      <w:pPr>
        <w:ind w:left="2945" w:hanging="360"/>
      </w:pPr>
      <w:rPr>
        <w:rFonts w:hint="default"/>
        <w:lang w:val="pt-PT" w:eastAsia="pt-PT" w:bidi="pt-PT"/>
      </w:rPr>
    </w:lvl>
    <w:lvl w:ilvl="5" w:tplc="4A7AA19A">
      <w:numFmt w:val="bullet"/>
      <w:lvlText w:val="•"/>
      <w:lvlJc w:val="left"/>
      <w:pPr>
        <w:ind w:left="4231" w:hanging="360"/>
      </w:pPr>
      <w:rPr>
        <w:rFonts w:hint="default"/>
        <w:lang w:val="pt-PT" w:eastAsia="pt-PT" w:bidi="pt-PT"/>
      </w:rPr>
    </w:lvl>
    <w:lvl w:ilvl="6" w:tplc="2796F574">
      <w:numFmt w:val="bullet"/>
      <w:lvlText w:val="•"/>
      <w:lvlJc w:val="left"/>
      <w:pPr>
        <w:ind w:left="5517" w:hanging="360"/>
      </w:pPr>
      <w:rPr>
        <w:rFonts w:hint="default"/>
        <w:lang w:val="pt-PT" w:eastAsia="pt-PT" w:bidi="pt-PT"/>
      </w:rPr>
    </w:lvl>
    <w:lvl w:ilvl="7" w:tplc="2B887BBE">
      <w:numFmt w:val="bullet"/>
      <w:lvlText w:val="•"/>
      <w:lvlJc w:val="left"/>
      <w:pPr>
        <w:ind w:left="6802" w:hanging="360"/>
      </w:pPr>
      <w:rPr>
        <w:rFonts w:hint="default"/>
        <w:lang w:val="pt-PT" w:eastAsia="pt-PT" w:bidi="pt-PT"/>
      </w:rPr>
    </w:lvl>
    <w:lvl w:ilvl="8" w:tplc="87CE7884">
      <w:numFmt w:val="bullet"/>
      <w:lvlText w:val="•"/>
      <w:lvlJc w:val="left"/>
      <w:pPr>
        <w:ind w:left="8088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14"/>
    <w:rsid w:val="00274851"/>
    <w:rsid w:val="005467F1"/>
    <w:rsid w:val="00BA3014"/>
    <w:rsid w:val="00BC4E6E"/>
    <w:rsid w:val="00C7093F"/>
    <w:rsid w:val="00E23BEB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590A1B"/>
  <w15:chartTrackingRefBased/>
  <w15:docId w15:val="{BBA56B4C-107A-364C-9B0B-6CAD21A8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A301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A3014"/>
    <w:pPr>
      <w:keepNext/>
      <w:widowControl/>
      <w:autoSpaceDE/>
      <w:autoSpaceDN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A3014"/>
  </w:style>
  <w:style w:type="character" w:customStyle="1" w:styleId="CorpodetextoChar">
    <w:name w:val="Corpo de texto Char"/>
    <w:basedOn w:val="Fontepargpadro"/>
    <w:link w:val="Corpodetexto"/>
    <w:uiPriority w:val="1"/>
    <w:rsid w:val="00BA3014"/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BA3014"/>
    <w:pPr>
      <w:ind w:left="976" w:hanging="396"/>
    </w:pPr>
  </w:style>
  <w:style w:type="character" w:customStyle="1" w:styleId="Ttulo1Char">
    <w:name w:val="Título 1 Char"/>
    <w:basedOn w:val="Fontepargpadro"/>
    <w:link w:val="Ttulo1"/>
    <w:uiPriority w:val="9"/>
    <w:rsid w:val="00BA301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242</Words>
  <Characters>1414</Characters>
  <Application>Microsoft Office Word</Application>
  <DocSecurity>0</DocSecurity>
  <Lines>20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Antonieta Lins</dc:creator>
  <cp:keywords/>
  <dc:description/>
  <cp:lastModifiedBy>Maria Antonieta Lins</cp:lastModifiedBy>
  <cp:revision>2</cp:revision>
  <dcterms:created xsi:type="dcterms:W3CDTF">2020-08-24T15:14:00Z</dcterms:created>
  <dcterms:modified xsi:type="dcterms:W3CDTF">2020-08-24T15:50:00Z</dcterms:modified>
</cp:coreProperties>
</file>