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4E787" w14:textId="6107D093" w:rsidR="00C7205F" w:rsidRDefault="00C7205F" w:rsidP="00C7205F">
      <w:pPr>
        <w:pStyle w:val="Ttulo1"/>
        <w:spacing w:line="360" w:lineRule="auto"/>
        <w:jc w:val="right"/>
        <w:rPr>
          <w:rFonts w:ascii="Cambria Math" w:hAnsi="Cambria Math"/>
          <w:b/>
          <w:sz w:val="22"/>
          <w:szCs w:val="22"/>
        </w:rPr>
      </w:pPr>
      <w:bookmarkStart w:id="0" w:name="_Toc20745436"/>
      <w:r>
        <w:rPr>
          <w:rFonts w:ascii="Cambria Math" w:hAnsi="Cambria Math"/>
          <w:b/>
          <w:sz w:val="22"/>
          <w:szCs w:val="22"/>
        </w:rPr>
        <w:t>Universidade de São Paulo</w:t>
      </w:r>
    </w:p>
    <w:p w14:paraId="25D31949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Faculdade de Filosofia, Letras e Ciências Humanas</w:t>
      </w:r>
    </w:p>
    <w:p w14:paraId="2E7DC6EF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Departamento de História </w:t>
      </w:r>
    </w:p>
    <w:p w14:paraId="2A458841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>Prof. Rodrigo Goyena Soares</w:t>
      </w:r>
    </w:p>
    <w:p w14:paraId="4888FFC0" w14:textId="77777777" w:rsidR="00C7205F" w:rsidRPr="008B2C7A" w:rsidRDefault="00C7205F" w:rsidP="00C7205F">
      <w:pPr>
        <w:jc w:val="right"/>
        <w:rPr>
          <w:rFonts w:ascii="Cambria" w:hAnsi="Cambria"/>
          <w:sz w:val="16"/>
          <w:szCs w:val="16"/>
        </w:rPr>
      </w:pPr>
      <w:r w:rsidRPr="008B2C7A">
        <w:rPr>
          <w:rFonts w:ascii="Cambria" w:hAnsi="Cambria"/>
          <w:sz w:val="16"/>
          <w:szCs w:val="16"/>
        </w:rPr>
        <w:t xml:space="preserve">e-mail: </w:t>
      </w:r>
      <w:hyperlink r:id="rId5" w:history="1">
        <w:r w:rsidRPr="008B2C7A">
          <w:rPr>
            <w:rStyle w:val="Hyperlink"/>
            <w:rFonts w:ascii="Cambria" w:hAnsi="Cambria"/>
            <w:sz w:val="16"/>
            <w:szCs w:val="16"/>
          </w:rPr>
          <w:t>rodrigo.goyenasoares@usp.br</w:t>
        </w:r>
      </w:hyperlink>
    </w:p>
    <w:p w14:paraId="4AC8564B" w14:textId="77777777" w:rsidR="00C7205F" w:rsidRPr="004A2CD6" w:rsidRDefault="00C7205F" w:rsidP="00C7205F">
      <w:pPr>
        <w:jc w:val="right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2</w:t>
      </w:r>
      <w:r w:rsidRPr="008B2C7A">
        <w:rPr>
          <w:rFonts w:ascii="Cambria" w:hAnsi="Cambria"/>
          <w:sz w:val="16"/>
          <w:szCs w:val="16"/>
        </w:rPr>
        <w:t>º semestre 202</w:t>
      </w:r>
      <w:r>
        <w:rPr>
          <w:rFonts w:ascii="Cambria" w:hAnsi="Cambria"/>
          <w:sz w:val="16"/>
          <w:szCs w:val="16"/>
        </w:rPr>
        <w:t>1 – FLH0647</w:t>
      </w:r>
    </w:p>
    <w:p w14:paraId="02A36A85" w14:textId="77777777" w:rsidR="00C7205F" w:rsidRPr="00944206" w:rsidRDefault="00C7205F" w:rsidP="00C7205F">
      <w:pPr>
        <w:pStyle w:val="Ttulo1"/>
        <w:spacing w:line="360" w:lineRule="auto"/>
        <w:jc w:val="center"/>
        <w:rPr>
          <w:rFonts w:ascii="Cambria Math" w:hAnsi="Cambria Math"/>
          <w:b/>
          <w:sz w:val="22"/>
          <w:szCs w:val="22"/>
        </w:rPr>
      </w:pPr>
      <w:r>
        <w:rPr>
          <w:rFonts w:ascii="Cambria Math" w:hAnsi="Cambria Math"/>
          <w:b/>
          <w:sz w:val="22"/>
          <w:szCs w:val="22"/>
        </w:rPr>
        <w:t xml:space="preserve">História </w:t>
      </w:r>
      <w:bookmarkEnd w:id="0"/>
      <w:r>
        <w:rPr>
          <w:rFonts w:ascii="Cambria Math" w:hAnsi="Cambria Math"/>
          <w:b/>
          <w:sz w:val="22"/>
          <w:szCs w:val="22"/>
        </w:rPr>
        <w:t>Econômica do Brasil Império</w:t>
      </w:r>
    </w:p>
    <w:p w14:paraId="4937B75E" w14:textId="77777777" w:rsidR="008D2E84" w:rsidRPr="00A423FA" w:rsidRDefault="008D2E84" w:rsidP="008D2E84">
      <w:pPr>
        <w:ind w:left="360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A423FA">
        <w:rPr>
          <w:rFonts w:ascii="Calibri" w:hAnsi="Calibri" w:cs="Calibri"/>
          <w:b/>
          <w:sz w:val="20"/>
          <w:szCs w:val="20"/>
          <w:u w:val="single"/>
        </w:rPr>
        <w:t>Unidade II – A constituição dos mercados de trabalho, de terras e de capitais</w:t>
      </w:r>
    </w:p>
    <w:p w14:paraId="798272C7" w14:textId="26557245" w:rsidR="008D2E84" w:rsidRPr="00A423FA" w:rsidRDefault="008D2E84" w:rsidP="008D2E84">
      <w:pPr>
        <w:ind w:left="360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14:paraId="1C7A3022" w14:textId="5041B4F2" w:rsidR="008D2E84" w:rsidRPr="00A423FA" w:rsidRDefault="008D2E84" w:rsidP="0070063A">
      <w:pPr>
        <w:pStyle w:val="PargrafodaLista"/>
        <w:numPr>
          <w:ilvl w:val="0"/>
          <w:numId w:val="32"/>
        </w:numPr>
        <w:jc w:val="both"/>
        <w:rPr>
          <w:rFonts w:ascii="Calibri" w:hAnsi="Calibri" w:cs="Calibri"/>
          <w:bCs/>
          <w:sz w:val="20"/>
          <w:szCs w:val="20"/>
        </w:rPr>
      </w:pPr>
      <w:r w:rsidRPr="00A423FA">
        <w:rPr>
          <w:rFonts w:ascii="Calibri" w:hAnsi="Calibri" w:cs="Calibri"/>
          <w:bCs/>
          <w:sz w:val="20"/>
          <w:szCs w:val="20"/>
        </w:rPr>
        <w:t>O tráfico de escravos, a Lei de Terras e o Código Comercial</w:t>
      </w:r>
    </w:p>
    <w:p w14:paraId="16955B4D" w14:textId="38E330ED" w:rsidR="008D2E84" w:rsidRPr="00A423FA" w:rsidRDefault="008D2E84" w:rsidP="008D2E84">
      <w:pPr>
        <w:pStyle w:val="PargrafodaLista"/>
        <w:numPr>
          <w:ilvl w:val="1"/>
          <w:numId w:val="2"/>
        </w:numPr>
        <w:ind w:left="1440"/>
        <w:jc w:val="both"/>
        <w:rPr>
          <w:rFonts w:ascii="Calibri" w:hAnsi="Calibri" w:cs="Calibri"/>
          <w:bCs/>
          <w:sz w:val="20"/>
          <w:szCs w:val="20"/>
        </w:rPr>
      </w:pPr>
      <w:r w:rsidRPr="00A423FA">
        <w:rPr>
          <w:rFonts w:ascii="Calibri" w:hAnsi="Calibri" w:cs="Calibri"/>
          <w:bCs/>
          <w:sz w:val="20"/>
          <w:szCs w:val="20"/>
        </w:rPr>
        <w:t xml:space="preserve">PAULA, João Antônio. O processo econômico. CARVALHO, José Murilo de. A construção nacional, 1830-1889. Coleção História do Brasil Nação: 1808-2010. Rio de Janeiro: MAPFRE / Objetiva, 2011.  </w:t>
      </w:r>
    </w:p>
    <w:p w14:paraId="3041CBD1" w14:textId="6734E332" w:rsidR="00C7205F" w:rsidRPr="00A423FA" w:rsidRDefault="00C7205F" w:rsidP="000424AB">
      <w:pPr>
        <w:jc w:val="both"/>
        <w:rPr>
          <w:rFonts w:ascii="Calibri" w:hAnsi="Calibri" w:cs="Calibri"/>
          <w:b/>
          <w:sz w:val="20"/>
          <w:szCs w:val="20"/>
        </w:rPr>
      </w:pPr>
    </w:p>
    <w:p w14:paraId="72FCDFEF" w14:textId="2E7C0F9F" w:rsidR="00C7205F" w:rsidRPr="00A423FA" w:rsidRDefault="0070063A" w:rsidP="0070063A">
      <w:pPr>
        <w:pStyle w:val="PargrafodaLista"/>
        <w:numPr>
          <w:ilvl w:val="0"/>
          <w:numId w:val="33"/>
        </w:numPr>
        <w:jc w:val="both"/>
        <w:rPr>
          <w:rFonts w:ascii="Calibri" w:hAnsi="Calibri" w:cs="Calibri"/>
          <w:b/>
          <w:sz w:val="20"/>
          <w:szCs w:val="20"/>
        </w:rPr>
      </w:pPr>
      <w:r w:rsidRPr="00A423FA">
        <w:rPr>
          <w:rFonts w:ascii="Calibri" w:hAnsi="Calibri" w:cs="Calibri"/>
          <w:b/>
          <w:sz w:val="20"/>
          <w:szCs w:val="20"/>
        </w:rPr>
        <w:t>A abolição do tráfico.</w:t>
      </w:r>
    </w:p>
    <w:p w14:paraId="2D810768" w14:textId="069275E8" w:rsidR="006E72CB" w:rsidRPr="00A423FA" w:rsidRDefault="006E72CB" w:rsidP="006E72CB">
      <w:pPr>
        <w:pStyle w:val="PargrafodaLista"/>
        <w:numPr>
          <w:ilvl w:val="0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O triênio que se estendeu de 1848 a 1850 foi rápido em acontecimentos. </w:t>
      </w:r>
    </w:p>
    <w:p w14:paraId="64D7DE43" w14:textId="01D72317" w:rsidR="00624E7B" w:rsidRPr="00A423FA" w:rsidRDefault="006E72CB" w:rsidP="006E72CB">
      <w:pPr>
        <w:pStyle w:val="PargrafodaLista"/>
        <w:numPr>
          <w:ilvl w:val="1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As pressões britânicas pelo fim do comércio transatlântico de seres humanos avolumaram-se a tal ponto que o Império cedeu.</w:t>
      </w:r>
    </w:p>
    <w:p w14:paraId="3569D38B" w14:textId="4F90809B" w:rsidR="006E72CB" w:rsidRPr="00A423FA" w:rsidRDefault="006E72CB" w:rsidP="006E72CB">
      <w:pPr>
        <w:pStyle w:val="PargrafodaLista"/>
        <w:numPr>
          <w:ilvl w:val="1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Antes disso:</w:t>
      </w:r>
    </w:p>
    <w:p w14:paraId="75A289E1" w14:textId="47B84A47" w:rsidR="006E72CB" w:rsidRPr="00A423FA" w:rsidRDefault="006E72CB" w:rsidP="006E72CB">
      <w:pPr>
        <w:pStyle w:val="PargrafodaLista"/>
        <w:numPr>
          <w:ilvl w:val="2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Missão Henry Ellis para a renovação do Tratado Anglo-Brasileiro de 1826/7.</w:t>
      </w:r>
    </w:p>
    <w:p w14:paraId="054578D1" w14:textId="48E28392" w:rsidR="006E72CB" w:rsidRPr="00A423FA" w:rsidRDefault="006E72CB" w:rsidP="006E72CB">
      <w:pPr>
        <w:pStyle w:val="PargrafodaLista"/>
        <w:numPr>
          <w:ilvl w:val="3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Adoção das Tarifas Alves Branco, em 1844.</w:t>
      </w:r>
    </w:p>
    <w:p w14:paraId="34DE5733" w14:textId="6C598172" w:rsidR="006E72CB" w:rsidRPr="00A423FA" w:rsidRDefault="006E72CB" w:rsidP="006E72CB">
      <w:pPr>
        <w:pStyle w:val="PargrafodaLista"/>
        <w:numPr>
          <w:ilvl w:val="0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Por que ceder em relações às pressões britânicas, se o gabinete era o da ordem saquarema?</w:t>
      </w:r>
    </w:p>
    <w:p w14:paraId="75301A61" w14:textId="205C643C" w:rsidR="006E72CB" w:rsidRPr="00A423FA" w:rsidRDefault="006E72CB" w:rsidP="006E72CB">
      <w:pPr>
        <w:pStyle w:val="PargrafodaLista"/>
        <w:numPr>
          <w:ilvl w:val="1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Conflito contra Juan Manuel de Rosas. </w:t>
      </w:r>
    </w:p>
    <w:p w14:paraId="137E0996" w14:textId="2D6E15E8" w:rsidR="00200607" w:rsidRPr="00A423FA" w:rsidRDefault="00200607" w:rsidP="00200607">
      <w:pPr>
        <w:pStyle w:val="PargrafodaLista"/>
        <w:numPr>
          <w:ilvl w:val="2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i/>
          <w:iCs/>
          <w:sz w:val="20"/>
          <w:szCs w:val="20"/>
        </w:rPr>
        <w:t xml:space="preserve">Nec </w:t>
      </w:r>
      <w:proofErr w:type="spellStart"/>
      <w:r w:rsidRPr="00A423FA">
        <w:rPr>
          <w:rFonts w:ascii="Calibri" w:hAnsi="Calibri" w:cs="Calibri"/>
          <w:i/>
          <w:iCs/>
          <w:sz w:val="20"/>
          <w:szCs w:val="20"/>
        </w:rPr>
        <w:t>hercules</w:t>
      </w:r>
      <w:proofErr w:type="spellEnd"/>
      <w:r w:rsidRPr="00A423FA">
        <w:rPr>
          <w:rFonts w:ascii="Calibri" w:hAnsi="Calibri" w:cs="Calibri"/>
          <w:i/>
          <w:iCs/>
          <w:sz w:val="20"/>
          <w:szCs w:val="20"/>
        </w:rPr>
        <w:t xml:space="preserve"> contra duo. </w:t>
      </w:r>
    </w:p>
    <w:p w14:paraId="20B03F3C" w14:textId="73A23A6B" w:rsidR="006E72CB" w:rsidRPr="00A423FA" w:rsidRDefault="006E72CB" w:rsidP="006E72CB">
      <w:pPr>
        <w:pStyle w:val="PargrafodaLista"/>
        <w:numPr>
          <w:ilvl w:val="1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Bill Aberdeen, de 1845. </w:t>
      </w:r>
    </w:p>
    <w:p w14:paraId="74A8B533" w14:textId="547FCA9B" w:rsidR="00200607" w:rsidRPr="00A423FA" w:rsidRDefault="00200607" w:rsidP="00200607">
      <w:pPr>
        <w:pStyle w:val="PargrafodaLista"/>
        <w:numPr>
          <w:ilvl w:val="2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Lorde Howden, plenipotenciário britânico no Rio de Janeiro, havia comunicado ao </w:t>
      </w:r>
      <w:r w:rsidRPr="00A423FA">
        <w:rPr>
          <w:rFonts w:ascii="Calibri" w:hAnsi="Calibri" w:cs="Calibri"/>
          <w:i/>
          <w:sz w:val="20"/>
          <w:szCs w:val="20"/>
        </w:rPr>
        <w:t>Foreign Office</w:t>
      </w:r>
      <w:r w:rsidRPr="00A423FA">
        <w:rPr>
          <w:rFonts w:ascii="Calibri" w:hAnsi="Calibri" w:cs="Calibri"/>
          <w:sz w:val="20"/>
          <w:szCs w:val="20"/>
        </w:rPr>
        <w:t xml:space="preserve"> em 1848 que o Império recebia anualmente a espetacular e odiosa soma de 60.000 escravos importados da África.</w:t>
      </w:r>
    </w:p>
    <w:p w14:paraId="49D8D573" w14:textId="734B324E" w:rsidR="00200607" w:rsidRPr="00A423FA" w:rsidRDefault="00200607" w:rsidP="00200607">
      <w:pPr>
        <w:pStyle w:val="PargrafodaLista"/>
        <w:numPr>
          <w:ilvl w:val="3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Incidente na Fortaleza de Nossa Senhora dos Prazeres de Paranaguá. </w:t>
      </w:r>
    </w:p>
    <w:p w14:paraId="26D5D00D" w14:textId="54EC9194" w:rsidR="00200607" w:rsidRPr="00A423FA" w:rsidRDefault="00200607" w:rsidP="00200607">
      <w:pPr>
        <w:pStyle w:val="PargrafodaLista"/>
        <w:numPr>
          <w:ilvl w:val="1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4 de setembro de 1850</w:t>
      </w:r>
    </w:p>
    <w:p w14:paraId="1299B01D" w14:textId="132DC53C" w:rsidR="00200607" w:rsidRPr="00A423FA" w:rsidRDefault="00200607" w:rsidP="00200607">
      <w:pPr>
        <w:pStyle w:val="PargrafodaLista"/>
        <w:numPr>
          <w:ilvl w:val="2"/>
          <w:numId w:val="30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Edição da Lei Eusébio de Queirós. </w:t>
      </w:r>
    </w:p>
    <w:p w14:paraId="440F9CB5" w14:textId="2C42F922" w:rsidR="00200607" w:rsidRDefault="00200607" w:rsidP="00200607">
      <w:pPr>
        <w:jc w:val="both"/>
        <w:rPr>
          <w:rFonts w:ascii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D35470" wp14:editId="693BD6B4">
            <wp:simplePos x="0" y="0"/>
            <wp:positionH relativeFrom="column">
              <wp:posOffset>2675816</wp:posOffset>
            </wp:positionH>
            <wp:positionV relativeFrom="paragraph">
              <wp:posOffset>372764</wp:posOffset>
            </wp:positionV>
            <wp:extent cx="3074400" cy="2314800"/>
            <wp:effectExtent l="114300" t="101600" r="113665" b="136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3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CD25D" w14:textId="151BE33D" w:rsidR="00200607" w:rsidRPr="00200607" w:rsidRDefault="00200607" w:rsidP="00200607">
      <w:pPr>
        <w:jc w:val="both"/>
        <w:rPr>
          <w:rFonts w:ascii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FE1964" wp14:editId="4020FD13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397600" cy="2887200"/>
            <wp:effectExtent l="114300" t="101600" r="117475" b="135890"/>
            <wp:wrapSquare wrapText="bothSides"/>
            <wp:docPr id="2" name="Imagem 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, Desenho técnic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88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F03D" w14:textId="3341B8AB" w:rsidR="00624E7B" w:rsidRPr="005D5AE6" w:rsidRDefault="00624E7B" w:rsidP="00624E7B">
      <w:pPr>
        <w:rPr>
          <w:rFonts w:ascii="Calibri" w:hAnsi="Calibri" w:cs="Calibri"/>
          <w:sz w:val="18"/>
          <w:szCs w:val="18"/>
        </w:rPr>
      </w:pPr>
    </w:p>
    <w:p w14:paraId="5305D4C3" w14:textId="21C03075" w:rsidR="00624E7B" w:rsidRPr="00A423FA" w:rsidRDefault="00624E7B" w:rsidP="00624E7B">
      <w:pPr>
        <w:rPr>
          <w:rFonts w:ascii="Calibri" w:hAnsi="Calibri" w:cs="Calibri"/>
          <w:sz w:val="20"/>
          <w:szCs w:val="20"/>
        </w:rPr>
      </w:pPr>
    </w:p>
    <w:p w14:paraId="2F3DF587" w14:textId="53C0CA3F" w:rsidR="0070063A" w:rsidRPr="00A423FA" w:rsidRDefault="0070063A" w:rsidP="0070063A">
      <w:pPr>
        <w:pStyle w:val="PargrafodaLista"/>
        <w:numPr>
          <w:ilvl w:val="0"/>
          <w:numId w:val="33"/>
        </w:numPr>
        <w:jc w:val="both"/>
        <w:rPr>
          <w:rFonts w:ascii="Calibri" w:hAnsi="Calibri" w:cs="Calibri"/>
          <w:b/>
          <w:sz w:val="20"/>
          <w:szCs w:val="20"/>
        </w:rPr>
      </w:pPr>
      <w:r w:rsidRPr="00A423FA">
        <w:rPr>
          <w:rFonts w:ascii="Calibri" w:hAnsi="Calibri" w:cs="Calibri"/>
          <w:b/>
          <w:sz w:val="20"/>
          <w:szCs w:val="20"/>
        </w:rPr>
        <w:lastRenderedPageBreak/>
        <w:t xml:space="preserve">A Lei de Terras e a mercantilização fundiária e laboral. </w:t>
      </w:r>
    </w:p>
    <w:p w14:paraId="650FB665" w14:textId="26D51BE2" w:rsidR="00624E7B" w:rsidRPr="00A423FA" w:rsidRDefault="00624E7B" w:rsidP="00624E7B">
      <w:pPr>
        <w:rPr>
          <w:rFonts w:ascii="Calibri" w:hAnsi="Calibri" w:cs="Calibri"/>
          <w:sz w:val="20"/>
          <w:szCs w:val="20"/>
        </w:rPr>
      </w:pPr>
    </w:p>
    <w:p w14:paraId="5E1A8554" w14:textId="77777777" w:rsidR="004E0BE8" w:rsidRPr="00A423FA" w:rsidRDefault="004E0BE8" w:rsidP="004E0BE8">
      <w:pPr>
        <w:pStyle w:val="PargrafodaLista"/>
        <w:numPr>
          <w:ilvl w:val="0"/>
          <w:numId w:val="35"/>
        </w:numPr>
        <w:ind w:left="714" w:hanging="357"/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Em meados do século XIX, a economia mundial conheceu um ciclo de expansão somente refreado pela crise de 1873. </w:t>
      </w:r>
    </w:p>
    <w:p w14:paraId="6ECD1144" w14:textId="77777777" w:rsidR="004E0BE8" w:rsidRPr="00A423FA" w:rsidRDefault="004E0BE8" w:rsidP="004E0BE8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Até lá, e malgrado o colapso financeiro de 1857, o impulso global dado pelo desenvolvimento ferroviário e pela navegação a vapor promoveu uma reacomodação dos capitais nacionais para atender a uma alargada demanda por commodities e manufaturas. </w:t>
      </w:r>
    </w:p>
    <w:p w14:paraId="4779521C" w14:textId="7770BD45" w:rsidR="004E0BE8" w:rsidRPr="00A423FA" w:rsidRDefault="004E0BE8" w:rsidP="004E0BE8">
      <w:pPr>
        <w:pStyle w:val="PargrafodaLista"/>
        <w:numPr>
          <w:ilvl w:val="2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No tempo de um século, a população mundial praticamente dobrou de tamanho, sugerindo a necessidade de reformas econômicas com vistas a azeitar a intensidade e o volume das trocas. </w:t>
      </w:r>
    </w:p>
    <w:p w14:paraId="1718D622" w14:textId="77777777" w:rsidR="004E0BE8" w:rsidRPr="00A423FA" w:rsidRDefault="004E0BE8" w:rsidP="004E0BE8">
      <w:pPr>
        <w:pStyle w:val="PargrafodaLista"/>
        <w:numPr>
          <w:ilvl w:val="0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Em países de fronteira produtiva aberta, como o Brasil, a Argentina, os Estados Unidos e a então colônia britânica da Austrália, a integração de novas áreas cultiváveis à economia mundial, para além do vínculo físico com os portos, dependia da produção ou da importação de um excedente de mão de obra destinado à lavoura. </w:t>
      </w:r>
    </w:p>
    <w:p w14:paraId="3B2BAEAF" w14:textId="77777777" w:rsidR="004E0BE8" w:rsidRPr="00A423FA" w:rsidRDefault="004E0BE8" w:rsidP="004E0BE8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Também se sujeitava à disponibilidade de créditos financeiros para, em diferentes etapas produtivas, transformar uma determinada combinação de trabalho e terra em mercadoria e, em última análise, em lucro. </w:t>
      </w:r>
    </w:p>
    <w:p w14:paraId="499D934E" w14:textId="77777777" w:rsidR="004E0BE8" w:rsidRPr="00A423FA" w:rsidRDefault="004E0BE8" w:rsidP="004E0BE8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A abolição do tráfico acenou para um cenário potencialmente disruptivo para a economia imperial, porque a rarefação do cativo, ainda que lenta, impactaria seu preço devido à súbita queda da oferta num cenário de demanda constante. </w:t>
      </w:r>
    </w:p>
    <w:p w14:paraId="3B19F09C" w14:textId="626CC566" w:rsidR="004E0BE8" w:rsidRPr="00A423FA" w:rsidRDefault="004E0BE8" w:rsidP="004E0BE8">
      <w:pPr>
        <w:pStyle w:val="PargrafodaLista"/>
        <w:numPr>
          <w:ilvl w:val="2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 projeção relevou-se acertada, e, apesar do grande estoque de seres humanos escravizados, tão cedo quanto em 1855 o preço do escravo havia quase triplicado</w:t>
      </w:r>
      <w:r w:rsidR="009758C9" w:rsidRPr="00A423FA">
        <w:rPr>
          <w:rFonts w:ascii="Calibri" w:hAnsi="Calibri" w:cs="Calibri"/>
          <w:sz w:val="20"/>
          <w:szCs w:val="20"/>
        </w:rPr>
        <w:t>.</w:t>
      </w:r>
    </w:p>
    <w:p w14:paraId="7E28E534" w14:textId="77777777" w:rsidR="009758C9" w:rsidRPr="00A423FA" w:rsidRDefault="009758C9" w:rsidP="009758C9">
      <w:pPr>
        <w:pStyle w:val="PargrafodaLista"/>
        <w:numPr>
          <w:ilvl w:val="0"/>
          <w:numId w:val="35"/>
        </w:numPr>
        <w:ind w:left="714" w:hanging="357"/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Nessas condições, regulamentar os capitais liberados pelo tráfico era forma, pelo menos em tese, de garantir a fluidez do crédito cada vez mais necessário à manutenção da produtividade agrária. </w:t>
      </w:r>
    </w:p>
    <w:p w14:paraId="3BE4248E" w14:textId="77777777" w:rsidR="009758C9" w:rsidRPr="00A423FA" w:rsidRDefault="009758C9" w:rsidP="009758C9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De forma paralela, a regulamentação da propriedade fundiária, ao conferir-lhe valor, faria emergir, também em teoria, o crédito hipotecário. </w:t>
      </w:r>
    </w:p>
    <w:p w14:paraId="349E0395" w14:textId="5E5CFB71" w:rsidR="009758C9" w:rsidRPr="00A423FA" w:rsidRDefault="009758C9" w:rsidP="009758C9">
      <w:pPr>
        <w:pStyle w:val="PargrafodaLista"/>
        <w:numPr>
          <w:ilvl w:val="2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O processo valorativo da terra desalojaria tanto o trabalhador livre nacional quanto o imigrante de suas eventuais posses – um mecanismo, em princípio, capaz tornar disponível o trabalho e assim minimizar o desequilíbrio entre a demanda e a oferta de mão de obra, livre ou cativa.</w:t>
      </w:r>
    </w:p>
    <w:p w14:paraId="302712B7" w14:textId="77777777" w:rsidR="009952BF" w:rsidRPr="00A423FA" w:rsidRDefault="009952BF" w:rsidP="009952BF">
      <w:pPr>
        <w:pStyle w:val="PargrafodaLista"/>
        <w:ind w:left="2160"/>
        <w:jc w:val="both"/>
        <w:rPr>
          <w:rFonts w:ascii="Calibri" w:hAnsi="Calibri" w:cs="Calibri"/>
          <w:sz w:val="20"/>
          <w:szCs w:val="20"/>
        </w:rPr>
      </w:pPr>
    </w:p>
    <w:p w14:paraId="01DDCA14" w14:textId="12DCA96C" w:rsidR="009758C9" w:rsidRPr="00A423FA" w:rsidRDefault="009952BF" w:rsidP="009952BF">
      <w:pPr>
        <w:pStyle w:val="PargrafodaLista"/>
        <w:numPr>
          <w:ilvl w:val="0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O sentid</w:t>
      </w:r>
      <w:r w:rsidR="00C23EA6" w:rsidRPr="00A423FA">
        <w:rPr>
          <w:rFonts w:ascii="Calibri" w:hAnsi="Calibri" w:cs="Calibri"/>
          <w:sz w:val="20"/>
          <w:szCs w:val="20"/>
        </w:rPr>
        <w:t>o</w:t>
      </w:r>
      <w:r w:rsidRPr="00A423FA">
        <w:rPr>
          <w:rFonts w:ascii="Calibri" w:hAnsi="Calibri" w:cs="Calibri"/>
          <w:sz w:val="20"/>
          <w:szCs w:val="20"/>
        </w:rPr>
        <w:t xml:space="preserve"> da Lei de Terras</w:t>
      </w:r>
      <w:r w:rsidR="00C20F86" w:rsidRPr="00A423FA">
        <w:rPr>
          <w:rFonts w:ascii="Calibri" w:hAnsi="Calibri" w:cs="Calibri"/>
          <w:sz w:val="20"/>
          <w:szCs w:val="20"/>
        </w:rPr>
        <w:t xml:space="preserve"> (18 de setembro de 1850)</w:t>
      </w:r>
      <w:r w:rsidRPr="00A423FA">
        <w:rPr>
          <w:rFonts w:ascii="Calibri" w:hAnsi="Calibri" w:cs="Calibri"/>
          <w:sz w:val="20"/>
          <w:szCs w:val="20"/>
        </w:rPr>
        <w:t>:</w:t>
      </w:r>
    </w:p>
    <w:p w14:paraId="348E9E55" w14:textId="13095C49" w:rsidR="009952BF" w:rsidRPr="00A423FA" w:rsidRDefault="009952BF" w:rsidP="009952BF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Robert Torrens e a necessidade de deslocar o capital excedente para as colônias.</w:t>
      </w:r>
    </w:p>
    <w:p w14:paraId="69261B9B" w14:textId="190544A0" w:rsidR="009952BF" w:rsidRPr="00A423FA" w:rsidRDefault="009952BF" w:rsidP="009952BF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O plano de E. W. Wakefield. </w:t>
      </w:r>
    </w:p>
    <w:p w14:paraId="7A266019" w14:textId="5A9945BA" w:rsidR="00712A50" w:rsidRPr="00A423FA" w:rsidRDefault="00712A50" w:rsidP="00712A50">
      <w:pPr>
        <w:pStyle w:val="PargrafodaLista"/>
        <w:numPr>
          <w:ilvl w:val="2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</w:t>
      </w:r>
      <w:r w:rsidRPr="00A423FA">
        <w:rPr>
          <w:rFonts w:ascii="Calibri" w:hAnsi="Calibri" w:cs="Calibri"/>
          <w:sz w:val="20"/>
          <w:szCs w:val="20"/>
        </w:rPr>
        <w:t>locação produtiva do excedente de capital</w:t>
      </w:r>
      <w:r w:rsidRPr="00A423FA">
        <w:rPr>
          <w:rFonts w:ascii="Calibri" w:hAnsi="Calibri" w:cs="Calibri"/>
          <w:sz w:val="20"/>
          <w:szCs w:val="20"/>
        </w:rPr>
        <w:t>:</w:t>
      </w:r>
    </w:p>
    <w:p w14:paraId="4514C550" w14:textId="1774AE94" w:rsidR="00815E15" w:rsidRPr="00A423FA" w:rsidRDefault="00815E15" w:rsidP="00815E15">
      <w:pPr>
        <w:pStyle w:val="PargrafodaLista"/>
        <w:numPr>
          <w:ilvl w:val="3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Para Wakefield, a melhor forma de assegurar a realização ampliada do capital era mediante a constituição do trabalho assalariado na colônia e, em decorrência, de um polo monoprodutor e pluriconsumidor</w:t>
      </w:r>
      <w:r w:rsidRPr="00A423FA">
        <w:rPr>
          <w:rFonts w:ascii="Calibri" w:hAnsi="Calibri" w:cs="Calibri"/>
          <w:sz w:val="20"/>
          <w:szCs w:val="20"/>
        </w:rPr>
        <w:t>.</w:t>
      </w:r>
    </w:p>
    <w:p w14:paraId="725A1225" w14:textId="2D8CD472" w:rsidR="00815E15" w:rsidRPr="00A423FA" w:rsidRDefault="00815E15" w:rsidP="00815E15">
      <w:pPr>
        <w:pStyle w:val="PargrafodaLista"/>
        <w:numPr>
          <w:ilvl w:val="3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I</w:t>
      </w:r>
      <w:r w:rsidRPr="00A423FA">
        <w:rPr>
          <w:rFonts w:ascii="Calibri" w:hAnsi="Calibri" w:cs="Calibri"/>
          <w:sz w:val="20"/>
          <w:szCs w:val="20"/>
        </w:rPr>
        <w:t>nstituição da compra e da venda como únicas formas de aquisição fundiária.</w:t>
      </w:r>
    </w:p>
    <w:p w14:paraId="0EBEE8B1" w14:textId="451570B3" w:rsidR="00753622" w:rsidRPr="00A423FA" w:rsidRDefault="00753622" w:rsidP="00753622">
      <w:pPr>
        <w:pStyle w:val="PargrafodaLista"/>
        <w:numPr>
          <w:ilvl w:val="4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O</w:t>
      </w:r>
      <w:r w:rsidRPr="00A423FA">
        <w:rPr>
          <w:rFonts w:ascii="Calibri" w:hAnsi="Calibri" w:cs="Calibri"/>
          <w:sz w:val="20"/>
          <w:szCs w:val="20"/>
        </w:rPr>
        <w:t xml:space="preserve"> Estado deveria cessar a doação de terras.</w:t>
      </w:r>
    </w:p>
    <w:p w14:paraId="62916495" w14:textId="7C2AE1E3" w:rsidR="00753622" w:rsidRPr="00A423FA" w:rsidRDefault="00753622" w:rsidP="00753622">
      <w:pPr>
        <w:pStyle w:val="PargrafodaLista"/>
        <w:numPr>
          <w:ilvl w:val="4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No ato de venda, o Estado estabeleceria um preço alto o suficiente para evitar que o colono se tornasse imediatamente proprietário, mas baixo o bastante, ao mesmo tempo, para que o assalariamento gerasse a expectativa da propriedade</w:t>
      </w:r>
      <w:r w:rsidRPr="00A423FA">
        <w:rPr>
          <w:rFonts w:ascii="Calibri" w:hAnsi="Calibri" w:cs="Calibri"/>
          <w:sz w:val="20"/>
          <w:szCs w:val="20"/>
        </w:rPr>
        <w:t>.</w:t>
      </w:r>
    </w:p>
    <w:p w14:paraId="1428C9D6" w14:textId="60E7AB43" w:rsidR="00753622" w:rsidRPr="00A423FA" w:rsidRDefault="00753622" w:rsidP="00753622">
      <w:pPr>
        <w:pStyle w:val="PargrafodaLista"/>
        <w:numPr>
          <w:ilvl w:val="0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Em muitos aspectos, a Lei de Terras seguiu as fórmulas econômicas de Wakefield, inserindo o Brasil no contexto oitocentista global de reforço e clarificação dos direitos de propriedade sobre a terra.</w:t>
      </w:r>
    </w:p>
    <w:p w14:paraId="32A224E6" w14:textId="195AFD4E" w:rsidR="00753622" w:rsidRPr="00A423FA" w:rsidRDefault="00753622" w:rsidP="00753622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Regulamentada em 1854, a medida previa em primeira instância a impossibilidade de adquirir terras privadas ou públicas senão por meio da compra.</w:t>
      </w:r>
    </w:p>
    <w:p w14:paraId="52B44A90" w14:textId="6B957770" w:rsidR="00753622" w:rsidRPr="00A423FA" w:rsidRDefault="00753622" w:rsidP="00753622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Quanto às terras privadas, as antigas sesmarias e as novas posses seriam revalidadas e legitimadas caso a fruição fosse mansa e pacífica e, ainda, caso se encontrassem cultivadas ou com moradia habitual.</w:t>
      </w:r>
    </w:p>
    <w:p w14:paraId="6013FA72" w14:textId="2CDE878D" w:rsidR="00753622" w:rsidRPr="00A423FA" w:rsidRDefault="00753622" w:rsidP="00753622">
      <w:pPr>
        <w:pStyle w:val="PargrafodaLista"/>
        <w:numPr>
          <w:ilvl w:val="1"/>
          <w:numId w:val="35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lastRenderedPageBreak/>
        <w:t>O critério produtivo e residencial também serviria para resolver os conflitos entre sesmeiros e posseiros: no fundo, uma regra mais favorável a estes do que àqueles, porque o ônus da prova caberia ao eventual sesmeiro mais antigo, e não ao posseiro mais recente.</w:t>
      </w:r>
    </w:p>
    <w:p w14:paraId="7002E83D" w14:textId="42C5D44C" w:rsidR="00753622" w:rsidRPr="00A423FA" w:rsidRDefault="00753622" w:rsidP="007F1D18">
      <w:pPr>
        <w:pStyle w:val="PargrafodaLista"/>
        <w:numPr>
          <w:ilvl w:val="1"/>
          <w:numId w:val="35"/>
        </w:numPr>
        <w:ind w:left="1434" w:hanging="357"/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Instituiu-se a obrigatória medição e demarcação das propriedades fundiárias, sob pena de incorrer na perda da terra, e uma taxa de registro, que conferiria o título formal. Limitou-se o tamanho das posses revalidadas àquele da maior doação concedida no mesmo distrito, o que, pelo resto, em nada limitou a característica latifundiária das novas legitimações</w:t>
      </w:r>
      <w:r w:rsidRPr="00A423FA">
        <w:rPr>
          <w:rFonts w:ascii="Calibri" w:hAnsi="Calibri" w:cs="Calibri"/>
          <w:sz w:val="20"/>
          <w:szCs w:val="20"/>
        </w:rPr>
        <w:t>.</w:t>
      </w:r>
    </w:p>
    <w:p w14:paraId="23C610EB" w14:textId="47CD202C" w:rsidR="00624E7B" w:rsidRPr="00A423FA" w:rsidRDefault="007F1D18" w:rsidP="00624E7B">
      <w:pPr>
        <w:pStyle w:val="PargrafodaLista"/>
        <w:numPr>
          <w:ilvl w:val="1"/>
          <w:numId w:val="35"/>
        </w:numPr>
        <w:ind w:left="1434" w:hanging="357"/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As terras públicas – conhecidas como devolutas, pois, no sentido etimológico, devolvidas à Coroa quando não aproveitadas – tampouco escaparam à exclusividade do regime de compra e venda. Estabeleceu-se um regime de preços que, embora não fosse proibitivo, era suficientemente alto para limitar o acesso à terra de livres pobres, fossem nacionais ou estrangeiros. Os recursos obtidos deveriam ser empregados na demarcação do que agora era efetivamente do Estado e, sobretudo, na importação de colonos estrangeiros. </w:t>
      </w:r>
    </w:p>
    <w:p w14:paraId="5AC05030" w14:textId="1ED139B3" w:rsidR="00624E7B" w:rsidRPr="00A423FA" w:rsidRDefault="00624E7B" w:rsidP="00624E7B">
      <w:pPr>
        <w:rPr>
          <w:rFonts w:ascii="Calibri" w:hAnsi="Calibri" w:cs="Calibri"/>
          <w:sz w:val="20"/>
          <w:szCs w:val="20"/>
        </w:rPr>
      </w:pPr>
    </w:p>
    <w:p w14:paraId="5B9F5B6C" w14:textId="7F4787CE" w:rsidR="00624E7B" w:rsidRPr="00A423FA" w:rsidRDefault="007F1D18" w:rsidP="00624E7B">
      <w:pPr>
        <w:rPr>
          <w:rFonts w:ascii="Calibri" w:hAnsi="Calibri" w:cs="Calibri"/>
          <w:sz w:val="20"/>
          <w:szCs w:val="20"/>
        </w:rPr>
      </w:pPr>
      <w:r w:rsidRPr="00A423FA">
        <w:rPr>
          <w:noProof/>
          <w:sz w:val="20"/>
          <w:szCs w:val="20"/>
        </w:rPr>
        <w:drawing>
          <wp:inline distT="0" distB="0" distL="0" distR="0" wp14:anchorId="7631E7B6" wp14:editId="73933750">
            <wp:extent cx="5183944" cy="2915892"/>
            <wp:effectExtent l="114300" t="101600" r="112395" b="132715"/>
            <wp:docPr id="4" name="Imagem 4" descr="Foto em preto e branco de pessoas andando na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oto em preto e branco de pessoas andando na terr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11" cy="2926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33B795" w14:textId="1B16A380" w:rsidR="00624E7B" w:rsidRPr="00A423FA" w:rsidRDefault="00624E7B" w:rsidP="00624E7B">
      <w:pPr>
        <w:rPr>
          <w:rFonts w:ascii="Calibri" w:hAnsi="Calibri" w:cs="Calibri"/>
          <w:sz w:val="20"/>
          <w:szCs w:val="20"/>
        </w:rPr>
      </w:pPr>
    </w:p>
    <w:p w14:paraId="45DD805B" w14:textId="77777777" w:rsidR="0068100E" w:rsidRPr="00A423FA" w:rsidRDefault="0068100E" w:rsidP="0068100E">
      <w:pPr>
        <w:pStyle w:val="PargrafodaLista"/>
        <w:numPr>
          <w:ilvl w:val="0"/>
          <w:numId w:val="36"/>
        </w:numPr>
        <w:ind w:left="714" w:hanging="357"/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O processo de transformação da terra em mercadoria instituiu uma nova dinâmica de acumulação de valor que francamente afastou o camponês da propriedade fundiária.</w:t>
      </w:r>
    </w:p>
    <w:p w14:paraId="46A53DF3" w14:textId="77777777" w:rsidR="0068100E" w:rsidRPr="00A423FA" w:rsidRDefault="0068100E" w:rsidP="0068100E">
      <w:pPr>
        <w:pStyle w:val="PargrafodaLista"/>
        <w:numPr>
          <w:ilvl w:val="1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 Inviabilizada a aquisição da terra privada – porque seu preço equivalia, para as classes populares, a cerca de 15 anos de trabalho ininterruptos – o pequeno lavrador tampouco pôde se fazer nas terras devolutas, a não ser pela ocupação agora ilegal. </w:t>
      </w:r>
    </w:p>
    <w:p w14:paraId="293422DA" w14:textId="19F9CA87" w:rsidR="00624E7B" w:rsidRPr="00A423FA" w:rsidRDefault="0068100E" w:rsidP="0068100E">
      <w:pPr>
        <w:pStyle w:val="PargrafodaLista"/>
        <w:numPr>
          <w:ilvl w:val="1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Mesmo elas representavam a expressão de um alijamento social, visto que eram justamente os espaços menos integrados aos sistemas viário e portuário</w:t>
      </w:r>
      <w:r w:rsidR="00A423FA" w:rsidRPr="00A423FA">
        <w:rPr>
          <w:rFonts w:ascii="Calibri" w:hAnsi="Calibri" w:cs="Calibri"/>
          <w:sz w:val="20"/>
          <w:szCs w:val="20"/>
        </w:rPr>
        <w:t>.</w:t>
      </w:r>
    </w:p>
    <w:p w14:paraId="1EDB582A" w14:textId="77777777" w:rsidR="00A423FA" w:rsidRPr="00A423FA" w:rsidRDefault="00A423FA" w:rsidP="00A423FA">
      <w:pPr>
        <w:pStyle w:val="PargrafodaLista"/>
        <w:ind w:left="1440"/>
        <w:jc w:val="both"/>
        <w:rPr>
          <w:rFonts w:ascii="Calibri" w:hAnsi="Calibri" w:cs="Calibri"/>
          <w:sz w:val="20"/>
          <w:szCs w:val="20"/>
        </w:rPr>
      </w:pPr>
    </w:p>
    <w:p w14:paraId="16C22726" w14:textId="77777777" w:rsidR="00A423FA" w:rsidRPr="00A423FA" w:rsidRDefault="00A423FA" w:rsidP="00A423FA">
      <w:pPr>
        <w:pStyle w:val="PargrafodaLista"/>
        <w:numPr>
          <w:ilvl w:val="0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Na fórmula interpretativa de José Murilo de Carvalho, a recusa ao imposto territorial, que havia sido proposto no projeto de 1842, assim como à demarcação definitiva das terras possuídas, às subsequentes taxas de registro e à delimitação das terras devolutas, teriam expressado o veto de um grupo de proprietários em relação a outros – os cafeicultores. </w:t>
      </w:r>
    </w:p>
    <w:p w14:paraId="7DFC5DEA" w14:textId="77777777" w:rsidR="00A423FA" w:rsidRPr="00A423FA" w:rsidRDefault="00A423FA" w:rsidP="00A423FA">
      <w:pPr>
        <w:pStyle w:val="PargrafodaLista"/>
        <w:numPr>
          <w:ilvl w:val="1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O fracasso da Lei de Terras se explicaria, portanto, porque a finalidade imigrantista da Lei de Terras levaria a</w:t>
      </w:r>
      <w:r w:rsidRPr="00A423FA">
        <w:rPr>
          <w:rFonts w:ascii="Calibri" w:hAnsi="Calibri" w:cs="Calibri"/>
          <w:i/>
          <w:sz w:val="20"/>
          <w:szCs w:val="20"/>
        </w:rPr>
        <w:t xml:space="preserve"> </w:t>
      </w:r>
      <w:r w:rsidRPr="00A423FA">
        <w:rPr>
          <w:rFonts w:ascii="Calibri" w:hAnsi="Calibri" w:cs="Calibri"/>
          <w:sz w:val="20"/>
          <w:szCs w:val="20"/>
        </w:rPr>
        <w:t xml:space="preserve">“uma socialização dos prejuízos entre os proprietários para benefício de um grupo deles, os mais necessitados de braços”. </w:t>
      </w:r>
    </w:p>
    <w:p w14:paraId="7935A30B" w14:textId="30292F73" w:rsidR="00A423FA" w:rsidRPr="00A423FA" w:rsidRDefault="00A423FA" w:rsidP="00A423FA">
      <w:pPr>
        <w:pStyle w:val="PargrafodaLista"/>
        <w:numPr>
          <w:ilvl w:val="2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Em última instância, propõe Carvalho, o veto seria prova que o governo central não possuiria capacidades ilimitadas, e que os cafeicultores vale-paraibanos não teriam domínio final sobre a elite imperial</w:t>
      </w:r>
      <w:r w:rsidRPr="00A423FA">
        <w:rPr>
          <w:rFonts w:ascii="Calibri" w:hAnsi="Calibri" w:cs="Calibri"/>
          <w:sz w:val="20"/>
          <w:szCs w:val="20"/>
        </w:rPr>
        <w:t>.</w:t>
      </w:r>
    </w:p>
    <w:p w14:paraId="4C7CF97C" w14:textId="77777777" w:rsidR="003F71E6" w:rsidRDefault="00A423FA" w:rsidP="00A423FA">
      <w:pPr>
        <w:pStyle w:val="PargrafodaLista"/>
        <w:numPr>
          <w:ilvl w:val="0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lastRenderedPageBreak/>
        <w:t xml:space="preserve">Entretanto, se é verdade que o projeto não vingou plenamente, a medida não permaneceu letra morta, porque autorizou uma necessária reorientação da circulação de capital após a abolição do tráfico. </w:t>
      </w:r>
    </w:p>
    <w:p w14:paraId="3BA84D32" w14:textId="77777777" w:rsidR="003F71E6" w:rsidRDefault="00A423FA" w:rsidP="003F71E6">
      <w:pPr>
        <w:pStyle w:val="PargrafodaLista"/>
        <w:numPr>
          <w:ilvl w:val="1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À luz da economia política conservadora, a Lei de Terras qualificou menos uma dissociação entre os gabinetes e os proprietários do que a força política do latifúndio. </w:t>
      </w:r>
    </w:p>
    <w:p w14:paraId="370E161C" w14:textId="717BF664" w:rsidR="00A423FA" w:rsidRPr="00A423FA" w:rsidRDefault="00A423FA" w:rsidP="003F71E6">
      <w:pPr>
        <w:pStyle w:val="PargrafodaLista"/>
        <w:numPr>
          <w:ilvl w:val="2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Aprovada na esteira da abolição do tráfico, a Lei de Terras expropriou, na resolução ainda que imperfeita e precária das posses, a massa populacional livre e nacional, protegendo a estrutura agrária herdada do período colonial.</w:t>
      </w:r>
    </w:p>
    <w:p w14:paraId="7E5F48FC" w14:textId="77777777" w:rsidR="003F71E6" w:rsidRDefault="00A423FA" w:rsidP="00A423FA">
      <w:pPr>
        <w:pStyle w:val="PargrafodaLista"/>
        <w:numPr>
          <w:ilvl w:val="0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 xml:space="preserve">Num contexto de amplo abastecimento nacional de escravos, a redistribuição da mão de obra cativa em proveito da cafeicultura redimensionou as urgências tanto nas províncias do Centro-Sul quanto do Nordeste. </w:t>
      </w:r>
    </w:p>
    <w:p w14:paraId="51B2101B" w14:textId="77777777" w:rsidR="003F71E6" w:rsidRDefault="00A423FA" w:rsidP="003F71E6">
      <w:pPr>
        <w:pStyle w:val="PargrafodaLista"/>
        <w:numPr>
          <w:ilvl w:val="1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Nestas, a perda progressiva do braço servil deu-se paralelamente ao registro fundiário</w:t>
      </w:r>
      <w:r w:rsidR="003F71E6">
        <w:rPr>
          <w:rFonts w:ascii="Calibri" w:hAnsi="Calibri" w:cs="Calibri"/>
          <w:sz w:val="20"/>
          <w:szCs w:val="20"/>
        </w:rPr>
        <w:t xml:space="preserve">, </w:t>
      </w:r>
      <w:r w:rsidRPr="00A423FA">
        <w:rPr>
          <w:rFonts w:ascii="Calibri" w:hAnsi="Calibri" w:cs="Calibri"/>
          <w:sz w:val="20"/>
          <w:szCs w:val="20"/>
        </w:rPr>
        <w:t xml:space="preserve">visto que era uma forma de fixar valor a uma empresa, sobretudo açucareira, que perdia gradualmente o capital assentado na propriedade cativa. </w:t>
      </w:r>
    </w:p>
    <w:p w14:paraId="1A052065" w14:textId="0C2A66AF" w:rsidR="00A423FA" w:rsidRPr="00A423FA" w:rsidRDefault="00A423FA" w:rsidP="003F71E6">
      <w:pPr>
        <w:pStyle w:val="PargrafodaLista"/>
        <w:numPr>
          <w:ilvl w:val="2"/>
          <w:numId w:val="36"/>
        </w:numPr>
        <w:jc w:val="both"/>
        <w:rPr>
          <w:rFonts w:ascii="Calibri" w:hAnsi="Calibri" w:cs="Calibri"/>
          <w:sz w:val="20"/>
          <w:szCs w:val="20"/>
        </w:rPr>
      </w:pPr>
      <w:r w:rsidRPr="00A423FA">
        <w:rPr>
          <w:rFonts w:ascii="Calibri" w:hAnsi="Calibri" w:cs="Calibri"/>
          <w:sz w:val="20"/>
          <w:szCs w:val="20"/>
        </w:rPr>
        <w:t>Reflexo de uma formação mercadológica inter-relacionada, o aumento no preço dos escravos projetou, a um só tempo, a revalorização de ativos produtivos e a necessária redistribuição dos recursos financeiros oriundos da abolição do tráfico, via de regra, nos prósperos cafezais vale-paraibanos.</w:t>
      </w:r>
    </w:p>
    <w:sectPr w:rsidR="00A423FA" w:rsidRPr="00A423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6B2"/>
    <w:multiLevelType w:val="hybridMultilevel"/>
    <w:tmpl w:val="522E478E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3520"/>
    <w:multiLevelType w:val="hybridMultilevel"/>
    <w:tmpl w:val="A5F886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920A69"/>
    <w:multiLevelType w:val="hybridMultilevel"/>
    <w:tmpl w:val="01600D5A"/>
    <w:lvl w:ilvl="0" w:tplc="AF26B7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75821E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06424F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7F48B26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1EAAF0">
      <w:numFmt w:val="bullet"/>
      <w:lvlText w:val="»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3AF3A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AA840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84AC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8FA45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84C036D"/>
    <w:multiLevelType w:val="hybridMultilevel"/>
    <w:tmpl w:val="86C228E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662C2E"/>
    <w:multiLevelType w:val="hybridMultilevel"/>
    <w:tmpl w:val="3A901F10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305933"/>
    <w:multiLevelType w:val="hybridMultilevel"/>
    <w:tmpl w:val="760041FE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0E4C2980"/>
    <w:multiLevelType w:val="hybridMultilevel"/>
    <w:tmpl w:val="781A226E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4F542A"/>
    <w:multiLevelType w:val="hybridMultilevel"/>
    <w:tmpl w:val="4B88F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C6482"/>
    <w:multiLevelType w:val="multilevel"/>
    <w:tmpl w:val="185250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202F4FF7"/>
    <w:multiLevelType w:val="multilevel"/>
    <w:tmpl w:val="1EE0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B3D2A"/>
    <w:multiLevelType w:val="hybridMultilevel"/>
    <w:tmpl w:val="85CE9D3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F">
      <w:start w:val="1"/>
      <w:numFmt w:val="decimal"/>
      <w:lvlText w:val="%4."/>
      <w:lvlJc w:val="left"/>
      <w:pPr>
        <w:ind w:left="1800" w:hanging="360"/>
      </w:pPr>
    </w:lvl>
    <w:lvl w:ilvl="4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416001B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21F55EA7"/>
    <w:multiLevelType w:val="hybridMultilevel"/>
    <w:tmpl w:val="EE9EED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C4602"/>
    <w:multiLevelType w:val="hybridMultilevel"/>
    <w:tmpl w:val="E6ACE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504B6"/>
    <w:multiLevelType w:val="hybridMultilevel"/>
    <w:tmpl w:val="1046AE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416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294C7076"/>
    <w:multiLevelType w:val="hybridMultilevel"/>
    <w:tmpl w:val="746230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B0C2D"/>
    <w:multiLevelType w:val="hybridMultilevel"/>
    <w:tmpl w:val="B2B66B92"/>
    <w:lvl w:ilvl="0" w:tplc="30E40AE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20D1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88B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3EAB28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81152"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A9534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C6B4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CD3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E23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444253"/>
    <w:multiLevelType w:val="hybridMultilevel"/>
    <w:tmpl w:val="EE9EED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3742F"/>
    <w:multiLevelType w:val="hybridMultilevel"/>
    <w:tmpl w:val="09E64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1E6EDE"/>
    <w:multiLevelType w:val="hybridMultilevel"/>
    <w:tmpl w:val="F4DC64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19E4"/>
    <w:multiLevelType w:val="hybridMultilevel"/>
    <w:tmpl w:val="F09C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55E4C"/>
    <w:multiLevelType w:val="hybridMultilevel"/>
    <w:tmpl w:val="BE787D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EEA236D"/>
    <w:multiLevelType w:val="hybridMultilevel"/>
    <w:tmpl w:val="1E42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A39A7"/>
    <w:multiLevelType w:val="multilevel"/>
    <w:tmpl w:val="EB3A99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D72DC8"/>
    <w:multiLevelType w:val="hybridMultilevel"/>
    <w:tmpl w:val="1E4CBC94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50D0F6A"/>
    <w:multiLevelType w:val="hybridMultilevel"/>
    <w:tmpl w:val="7534B49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C2A4F"/>
    <w:multiLevelType w:val="multilevel"/>
    <w:tmpl w:val="B6A0A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21296A"/>
    <w:multiLevelType w:val="hybridMultilevel"/>
    <w:tmpl w:val="1834E0B6"/>
    <w:lvl w:ilvl="0" w:tplc="F072D1F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B67480"/>
    <w:multiLevelType w:val="hybridMultilevel"/>
    <w:tmpl w:val="632E5C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3" w:tplc="0416000F">
      <w:start w:val="1"/>
      <w:numFmt w:val="decimal"/>
      <w:lvlText w:val="%4."/>
      <w:lvlJc w:val="left"/>
      <w:pPr>
        <w:ind w:left="1800" w:hanging="360"/>
      </w:pPr>
    </w:lvl>
    <w:lvl w:ilvl="4" w:tplc="04160019">
      <w:start w:val="1"/>
      <w:numFmt w:val="lowerLetter"/>
      <w:lvlText w:val="%5."/>
      <w:lvlJc w:val="left"/>
      <w:pPr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62FD5623"/>
    <w:multiLevelType w:val="hybridMultilevel"/>
    <w:tmpl w:val="054ED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486B5F"/>
    <w:multiLevelType w:val="hybridMultilevel"/>
    <w:tmpl w:val="5F665DC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D5C40"/>
    <w:multiLevelType w:val="hybridMultilevel"/>
    <w:tmpl w:val="B984A1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84DD3"/>
    <w:multiLevelType w:val="multilevel"/>
    <w:tmpl w:val="0409001F"/>
    <w:lvl w:ilvl="0">
      <w:start w:val="1"/>
      <w:numFmt w:val="decimal"/>
      <w:lvlText w:val="%1."/>
      <w:lvlJc w:val="left"/>
      <w:pPr>
        <w:ind w:left="-8064" w:hanging="360"/>
      </w:pPr>
    </w:lvl>
    <w:lvl w:ilvl="1">
      <w:start w:val="1"/>
      <w:numFmt w:val="decimal"/>
      <w:lvlText w:val="%1.%2."/>
      <w:lvlJc w:val="left"/>
      <w:pPr>
        <w:ind w:left="-7632" w:hanging="432"/>
      </w:pPr>
    </w:lvl>
    <w:lvl w:ilvl="2">
      <w:start w:val="1"/>
      <w:numFmt w:val="decimal"/>
      <w:lvlText w:val="%1.%2.%3."/>
      <w:lvlJc w:val="left"/>
      <w:pPr>
        <w:ind w:left="-7200" w:hanging="504"/>
      </w:pPr>
    </w:lvl>
    <w:lvl w:ilvl="3">
      <w:start w:val="1"/>
      <w:numFmt w:val="decimal"/>
      <w:lvlText w:val="%1.%2.%3.%4."/>
      <w:lvlJc w:val="left"/>
      <w:pPr>
        <w:ind w:left="-6696" w:hanging="648"/>
      </w:pPr>
    </w:lvl>
    <w:lvl w:ilvl="4">
      <w:start w:val="1"/>
      <w:numFmt w:val="decimal"/>
      <w:lvlText w:val="%1.%2.%3.%4.%5."/>
      <w:lvlJc w:val="left"/>
      <w:pPr>
        <w:ind w:left="-6192" w:hanging="792"/>
      </w:pPr>
    </w:lvl>
    <w:lvl w:ilvl="5">
      <w:start w:val="1"/>
      <w:numFmt w:val="decimal"/>
      <w:lvlText w:val="%1.%2.%3.%4.%5.%6."/>
      <w:lvlJc w:val="left"/>
      <w:pPr>
        <w:ind w:left="-5688" w:hanging="936"/>
      </w:pPr>
    </w:lvl>
    <w:lvl w:ilvl="6">
      <w:start w:val="1"/>
      <w:numFmt w:val="decimal"/>
      <w:lvlText w:val="%1.%2.%3.%4.%5.%6.%7."/>
      <w:lvlJc w:val="left"/>
      <w:pPr>
        <w:ind w:left="-5184" w:hanging="1080"/>
      </w:pPr>
    </w:lvl>
    <w:lvl w:ilvl="7">
      <w:start w:val="1"/>
      <w:numFmt w:val="decimal"/>
      <w:lvlText w:val="%1.%2.%3.%4.%5.%6.%7.%8."/>
      <w:lvlJc w:val="left"/>
      <w:pPr>
        <w:ind w:left="-4680" w:hanging="1224"/>
      </w:pPr>
    </w:lvl>
    <w:lvl w:ilvl="8">
      <w:start w:val="1"/>
      <w:numFmt w:val="decimal"/>
      <w:lvlText w:val="%1.%2.%3.%4.%5.%6.%7.%8.%9."/>
      <w:lvlJc w:val="left"/>
      <w:pPr>
        <w:ind w:left="-4104" w:hanging="1440"/>
      </w:pPr>
    </w:lvl>
  </w:abstractNum>
  <w:abstractNum w:abstractNumId="32" w15:restartNumberingAfterBreak="0">
    <w:nsid w:val="6E4E66F5"/>
    <w:multiLevelType w:val="hybridMultilevel"/>
    <w:tmpl w:val="BE848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8451C"/>
    <w:multiLevelType w:val="hybridMultilevel"/>
    <w:tmpl w:val="52DC21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B50F4"/>
    <w:multiLevelType w:val="hybridMultilevel"/>
    <w:tmpl w:val="D6B6825E"/>
    <w:lvl w:ilvl="0" w:tplc="0409000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8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5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9250" w:hanging="360"/>
      </w:pPr>
      <w:rPr>
        <w:rFonts w:ascii="Wingdings" w:hAnsi="Wingdings" w:hint="default"/>
      </w:rPr>
    </w:lvl>
  </w:abstractNum>
  <w:abstractNum w:abstractNumId="35" w15:restartNumberingAfterBreak="0">
    <w:nsid w:val="7BC17DF6"/>
    <w:multiLevelType w:val="multilevel"/>
    <w:tmpl w:val="2014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8"/>
  </w:num>
  <w:num w:numId="3">
    <w:abstractNumId w:val="14"/>
  </w:num>
  <w:num w:numId="4">
    <w:abstractNumId w:val="33"/>
  </w:num>
  <w:num w:numId="5">
    <w:abstractNumId w:val="27"/>
  </w:num>
  <w:num w:numId="6">
    <w:abstractNumId w:val="10"/>
  </w:num>
  <w:num w:numId="7">
    <w:abstractNumId w:val="13"/>
  </w:num>
  <w:num w:numId="8">
    <w:abstractNumId w:val="8"/>
  </w:num>
  <w:num w:numId="9">
    <w:abstractNumId w:val="32"/>
  </w:num>
  <w:num w:numId="10">
    <w:abstractNumId w:val="22"/>
  </w:num>
  <w:num w:numId="11">
    <w:abstractNumId w:val="25"/>
  </w:num>
  <w:num w:numId="12">
    <w:abstractNumId w:val="30"/>
  </w:num>
  <w:num w:numId="13">
    <w:abstractNumId w:val="35"/>
  </w:num>
  <w:num w:numId="14">
    <w:abstractNumId w:val="9"/>
  </w:num>
  <w:num w:numId="15">
    <w:abstractNumId w:val="5"/>
  </w:num>
  <w:num w:numId="16">
    <w:abstractNumId w:val="31"/>
  </w:num>
  <w:num w:numId="17">
    <w:abstractNumId w:val="23"/>
  </w:num>
  <w:num w:numId="18">
    <w:abstractNumId w:val="34"/>
  </w:num>
  <w:num w:numId="19">
    <w:abstractNumId w:val="3"/>
  </w:num>
  <w:num w:numId="20">
    <w:abstractNumId w:val="24"/>
  </w:num>
  <w:num w:numId="21">
    <w:abstractNumId w:val="1"/>
  </w:num>
  <w:num w:numId="22">
    <w:abstractNumId w:val="17"/>
  </w:num>
  <w:num w:numId="23">
    <w:abstractNumId w:val="19"/>
  </w:num>
  <w:num w:numId="24">
    <w:abstractNumId w:val="29"/>
  </w:num>
  <w:num w:numId="25">
    <w:abstractNumId w:val="12"/>
  </w:num>
  <w:num w:numId="26">
    <w:abstractNumId w:val="21"/>
  </w:num>
  <w:num w:numId="27">
    <w:abstractNumId w:val="2"/>
  </w:num>
  <w:num w:numId="28">
    <w:abstractNumId w:val="15"/>
  </w:num>
  <w:num w:numId="29">
    <w:abstractNumId w:val="4"/>
  </w:num>
  <w:num w:numId="30">
    <w:abstractNumId w:val="20"/>
  </w:num>
  <w:num w:numId="31">
    <w:abstractNumId w:val="6"/>
  </w:num>
  <w:num w:numId="32">
    <w:abstractNumId w:val="0"/>
  </w:num>
  <w:num w:numId="33">
    <w:abstractNumId w:val="16"/>
  </w:num>
  <w:num w:numId="34">
    <w:abstractNumId w:val="11"/>
  </w:num>
  <w:num w:numId="35">
    <w:abstractNumId w:val="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36D"/>
    <w:rsid w:val="000424AB"/>
    <w:rsid w:val="0008766A"/>
    <w:rsid w:val="000B25B6"/>
    <w:rsid w:val="000D2A09"/>
    <w:rsid w:val="00150F7B"/>
    <w:rsid w:val="00161052"/>
    <w:rsid w:val="001B1127"/>
    <w:rsid w:val="001B6576"/>
    <w:rsid w:val="00200607"/>
    <w:rsid w:val="0020136D"/>
    <w:rsid w:val="002112D4"/>
    <w:rsid w:val="003639EB"/>
    <w:rsid w:val="003777CD"/>
    <w:rsid w:val="003825E6"/>
    <w:rsid w:val="003C3B8F"/>
    <w:rsid w:val="003D3585"/>
    <w:rsid w:val="003F71E6"/>
    <w:rsid w:val="004564CF"/>
    <w:rsid w:val="00471FD1"/>
    <w:rsid w:val="00474B33"/>
    <w:rsid w:val="00476E66"/>
    <w:rsid w:val="004A2CD6"/>
    <w:rsid w:val="004E0BE8"/>
    <w:rsid w:val="005111A5"/>
    <w:rsid w:val="00511FCF"/>
    <w:rsid w:val="005D5AE6"/>
    <w:rsid w:val="006227C2"/>
    <w:rsid w:val="00624E7B"/>
    <w:rsid w:val="0068100E"/>
    <w:rsid w:val="006B50D3"/>
    <w:rsid w:val="006E72CB"/>
    <w:rsid w:val="0070063A"/>
    <w:rsid w:val="00712A50"/>
    <w:rsid w:val="00716F68"/>
    <w:rsid w:val="00753622"/>
    <w:rsid w:val="007F156E"/>
    <w:rsid w:val="007F1D18"/>
    <w:rsid w:val="00815E15"/>
    <w:rsid w:val="008966CB"/>
    <w:rsid w:val="008D2E84"/>
    <w:rsid w:val="00926744"/>
    <w:rsid w:val="00941709"/>
    <w:rsid w:val="009758C9"/>
    <w:rsid w:val="009772D3"/>
    <w:rsid w:val="009952BF"/>
    <w:rsid w:val="00A239E5"/>
    <w:rsid w:val="00A423FA"/>
    <w:rsid w:val="00AF00A5"/>
    <w:rsid w:val="00B03B26"/>
    <w:rsid w:val="00B221D6"/>
    <w:rsid w:val="00BC238D"/>
    <w:rsid w:val="00BE3F06"/>
    <w:rsid w:val="00C20F86"/>
    <w:rsid w:val="00C23EA6"/>
    <w:rsid w:val="00C563BA"/>
    <w:rsid w:val="00C57396"/>
    <w:rsid w:val="00C7205F"/>
    <w:rsid w:val="00C85008"/>
    <w:rsid w:val="00CC7266"/>
    <w:rsid w:val="00CD26DB"/>
    <w:rsid w:val="00D33960"/>
    <w:rsid w:val="00D77B60"/>
    <w:rsid w:val="00D92B82"/>
    <w:rsid w:val="00DB3D3B"/>
    <w:rsid w:val="00E47EDE"/>
    <w:rsid w:val="00E6504A"/>
    <w:rsid w:val="00E67D2B"/>
    <w:rsid w:val="00EB2145"/>
    <w:rsid w:val="00F25CE0"/>
    <w:rsid w:val="00F46731"/>
    <w:rsid w:val="00F50CA9"/>
    <w:rsid w:val="00F54DE1"/>
    <w:rsid w:val="00F57CF4"/>
    <w:rsid w:val="00F742BA"/>
    <w:rsid w:val="00F975F1"/>
    <w:rsid w:val="00F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C454F"/>
  <w15:chartTrackingRefBased/>
  <w15:docId w15:val="{D9A2B515-FA94-294D-A148-041410F0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6D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0136D"/>
    <w:pPr>
      <w:spacing w:before="300" w:after="40"/>
      <w:outlineLvl w:val="0"/>
    </w:pPr>
    <w:rPr>
      <w:smallCaps/>
      <w:spacing w:val="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136D"/>
    <w:rPr>
      <w:rFonts w:ascii="Times New Roman" w:eastAsia="Times New Roman" w:hAnsi="Times New Roman" w:cs="Times New Roman"/>
      <w:smallCaps/>
      <w:spacing w:val="5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2013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A2CD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639EB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rodrigo.goyenasoares@usp.b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1367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Goyena Soares</dc:creator>
  <cp:keywords/>
  <dc:description/>
  <cp:lastModifiedBy>Rodrigo Goyena Soares</cp:lastModifiedBy>
  <cp:revision>20</cp:revision>
  <dcterms:created xsi:type="dcterms:W3CDTF">2021-09-21T17:16:00Z</dcterms:created>
  <dcterms:modified xsi:type="dcterms:W3CDTF">2021-09-21T18:03:00Z</dcterms:modified>
</cp:coreProperties>
</file>