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E2C0" w14:textId="77777777" w:rsidR="004B4AE3" w:rsidRDefault="004B4AE3" w:rsidP="004B4AE3">
      <w:pPr>
        <w:rPr>
          <w:rFonts w:ascii="Arial" w:hAnsi="Arial"/>
          <w:b/>
          <w:bCs/>
          <w:caps/>
          <w:lang w:val="pt-BR"/>
        </w:rPr>
      </w:pPr>
      <w:r>
        <w:rPr>
          <w:rFonts w:ascii="Arial" w:hAnsi="Arial"/>
          <w:b/>
          <w:bCs/>
          <w:lang w:val="pt-BR"/>
        </w:rPr>
        <w:t xml:space="preserve">Exemplo: </w:t>
      </w:r>
      <w:r w:rsidRPr="00A63EEC">
        <w:rPr>
          <w:rFonts w:ascii="Arial" w:hAnsi="Arial"/>
          <w:b/>
          <w:bCs/>
          <w:lang w:val="pt-BR"/>
        </w:rPr>
        <w:t>PR</w:t>
      </w:r>
      <w:r>
        <w:rPr>
          <w:rFonts w:ascii="Arial" w:hAnsi="Arial"/>
          <w:b/>
          <w:bCs/>
          <w:lang w:val="pt-BR"/>
        </w:rPr>
        <w:t>Á</w:t>
      </w:r>
      <w:r w:rsidRPr="00A63EEC">
        <w:rPr>
          <w:rFonts w:ascii="Arial" w:hAnsi="Arial"/>
          <w:b/>
          <w:bCs/>
          <w:lang w:val="pt-BR"/>
        </w:rPr>
        <w:t>TICA</w:t>
      </w:r>
      <w:r>
        <w:rPr>
          <w:rFonts w:ascii="Arial" w:hAnsi="Arial"/>
          <w:b/>
          <w:bCs/>
          <w:lang w:val="pt-BR"/>
        </w:rPr>
        <w:t xml:space="preserve"> </w:t>
      </w:r>
      <w:r w:rsidRPr="00A63EEC">
        <w:rPr>
          <w:rFonts w:ascii="Arial" w:hAnsi="Arial"/>
          <w:b/>
          <w:bCs/>
          <w:caps/>
          <w:lang w:val="pt-BR"/>
        </w:rPr>
        <w:t>Anti</w:t>
      </w:r>
      <w:r>
        <w:rPr>
          <w:rFonts w:ascii="Arial" w:hAnsi="Arial"/>
          <w:b/>
          <w:bCs/>
          <w:caps/>
          <w:lang w:val="pt-BR"/>
        </w:rPr>
        <w:t xml:space="preserve">biograma </w:t>
      </w:r>
    </w:p>
    <w:p w14:paraId="0F3E5D8A" w14:textId="77777777" w:rsidR="004B4AE3" w:rsidRPr="004B4AE3" w:rsidRDefault="004B4AE3" w:rsidP="004B4AE3">
      <w:pPr>
        <w:rPr>
          <w:rFonts w:asciiTheme="minorHAnsi" w:hAnsiTheme="minorHAnsi" w:cstheme="minorHAnsi"/>
          <w:b/>
          <w:bCs/>
          <w:color w:val="000000" w:themeColor="text1"/>
          <w:sz w:val="10"/>
          <w:szCs w:val="10"/>
          <w:highlight w:val="yellow"/>
          <w:lang w:val="pt-BR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  <w:lang w:val="pt-BR"/>
        </w:rPr>
        <w:t xml:space="preserve"> </w:t>
      </w:r>
    </w:p>
    <w:p w14:paraId="3C1A4347" w14:textId="7F4B851B" w:rsidR="004B4AE3" w:rsidRPr="00A63EEC" w:rsidRDefault="004B4AE3" w:rsidP="004B4AE3">
      <w:pPr>
        <w:rPr>
          <w:rFonts w:ascii="Arial" w:hAnsi="Arial" w:cs="Arial Unicode MS"/>
          <w:b/>
          <w:bCs/>
          <w:color w:val="000000"/>
          <w:u w:color="000000"/>
          <w:lang w:val="pt-BR"/>
        </w:rPr>
      </w:pPr>
      <w:r w:rsidRPr="004B4AE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  <w:lang w:val="pt-BR"/>
        </w:rPr>
        <w:t>DIA 1: Apresentação da Prática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BR"/>
        </w:rPr>
        <w:t xml:space="preserve"> </w:t>
      </w:r>
    </w:p>
    <w:p w14:paraId="5693C785" w14:textId="77777777" w:rsidR="004B4AE3" w:rsidRDefault="004B4AE3" w:rsidP="004B4AE3">
      <w:pPr>
        <w:pStyle w:val="BodyA"/>
        <w:rPr>
          <w:rFonts w:ascii="Arial" w:hAnsi="Arial"/>
          <w:b/>
          <w:bCs/>
          <w:sz w:val="24"/>
          <w:szCs w:val="24"/>
          <w:lang w:val="pt-BR"/>
        </w:rPr>
      </w:pPr>
    </w:p>
    <w:p w14:paraId="7E5A1327" w14:textId="77777777" w:rsidR="004B4AE3" w:rsidRPr="001F1CBE" w:rsidRDefault="004B4AE3" w:rsidP="004B4AE3">
      <w:pPr>
        <w:pStyle w:val="BodyA"/>
        <w:rPr>
          <w:rFonts w:ascii="Arial" w:hAnsi="Arial"/>
          <w:b/>
          <w:bCs/>
          <w:lang w:val="pt-BR"/>
        </w:rPr>
      </w:pPr>
      <w:r w:rsidRPr="006A4900">
        <w:rPr>
          <w:rFonts w:ascii="Arial" w:hAnsi="Arial"/>
          <w:b/>
          <w:bCs/>
          <w:sz w:val="24"/>
          <w:szCs w:val="24"/>
          <w:lang w:val="pt-BR"/>
        </w:rPr>
        <w:t>A) Introdução</w:t>
      </w:r>
      <w:r w:rsidRPr="00A63EEC">
        <w:rPr>
          <w:rFonts w:ascii="Arial" w:hAnsi="Arial"/>
          <w:b/>
          <w:bCs/>
          <w:sz w:val="21"/>
          <w:szCs w:val="21"/>
          <w:lang w:val="pt-BR"/>
        </w:rPr>
        <w:t xml:space="preserve">: </w:t>
      </w:r>
    </w:p>
    <w:p w14:paraId="609DB734" w14:textId="77777777" w:rsidR="004B4AE3" w:rsidRPr="00A63EEC" w:rsidRDefault="004B4AE3" w:rsidP="004B4AE3">
      <w:pPr>
        <w:pStyle w:val="BodyA"/>
        <w:rPr>
          <w:rFonts w:ascii="Arial" w:hAnsi="Arial"/>
          <w:b/>
          <w:bCs/>
          <w:sz w:val="10"/>
          <w:szCs w:val="10"/>
          <w:lang w:val="pt-BR"/>
        </w:rPr>
      </w:pPr>
    </w:p>
    <w:p w14:paraId="1D8A1F6F" w14:textId="77777777" w:rsidR="004B4AE3" w:rsidRPr="001F1CBE" w:rsidRDefault="004B4AE3" w:rsidP="004B4AE3">
      <w:pPr>
        <w:pStyle w:val="BodyA"/>
        <w:spacing w:after="120"/>
        <w:jc w:val="both"/>
        <w:rPr>
          <w:rFonts w:asciiTheme="minorHAnsi" w:hAnsiTheme="minorHAnsi"/>
          <w:lang w:val="pt-BR"/>
        </w:rPr>
      </w:pPr>
      <w:r w:rsidRPr="001F1CBE">
        <w:rPr>
          <w:rFonts w:asciiTheme="minorHAnsi" w:hAnsiTheme="minorHAnsi"/>
          <w:lang w:val="pt-BR"/>
        </w:rPr>
        <w:t xml:space="preserve">O antibiograma é um teste que permite a verificação </w:t>
      </w:r>
      <w:r w:rsidRPr="001F1CBE">
        <w:rPr>
          <w:rFonts w:asciiTheme="minorHAnsi" w:hAnsiTheme="minorHAnsi"/>
          <w:i/>
          <w:iCs/>
          <w:lang w:val="pt-BR"/>
        </w:rPr>
        <w:t>in vitro</w:t>
      </w:r>
      <w:r w:rsidRPr="001F1CBE">
        <w:rPr>
          <w:rFonts w:asciiTheme="minorHAnsi" w:hAnsiTheme="minorHAnsi"/>
          <w:lang w:val="pt-BR"/>
        </w:rPr>
        <w:t xml:space="preserve"> da sensibilidade de uma bactéria a vários antibióticos. Este método foi desenvolvido por </w:t>
      </w:r>
      <w:r w:rsidRPr="001F1CBE">
        <w:rPr>
          <w:rFonts w:asciiTheme="minorHAnsi" w:hAnsiTheme="minorHAnsi"/>
          <w:b/>
          <w:bCs/>
          <w:lang w:val="pt-BR"/>
        </w:rPr>
        <w:t>Kirby-Bauer</w:t>
      </w:r>
      <w:r w:rsidRPr="001F1CBE">
        <w:rPr>
          <w:rFonts w:asciiTheme="minorHAnsi" w:hAnsiTheme="minorHAnsi"/>
          <w:lang w:val="pt-BR"/>
        </w:rPr>
        <w:t xml:space="preserve">. A sensibilidade é demonstrada pela zona ou halo de inibição de crescimento que se forma ao redor do disco de antibiótico. </w:t>
      </w:r>
    </w:p>
    <w:p w14:paraId="56E49B1F" w14:textId="77777777" w:rsidR="004B4AE3" w:rsidRPr="001F1CBE" w:rsidRDefault="004B4AE3" w:rsidP="004B4AE3">
      <w:pPr>
        <w:pStyle w:val="BodyA"/>
        <w:spacing w:after="120"/>
        <w:jc w:val="both"/>
        <w:rPr>
          <w:rFonts w:asciiTheme="minorHAnsi" w:hAnsiTheme="minorHAnsi"/>
          <w:lang w:val="pt-BR"/>
        </w:rPr>
      </w:pPr>
      <w:r w:rsidRPr="001F1CBE">
        <w:rPr>
          <w:rFonts w:asciiTheme="minorHAnsi" w:hAnsiTheme="minorHAnsi"/>
          <w:lang w:val="pt-BR"/>
        </w:rPr>
        <w:t xml:space="preserve">O tamanho do </w:t>
      </w:r>
      <w:r w:rsidRPr="001F1CBE">
        <w:rPr>
          <w:rFonts w:asciiTheme="minorHAnsi" w:hAnsiTheme="minorHAnsi"/>
          <w:b/>
          <w:bCs/>
          <w:lang w:val="pt-BR"/>
        </w:rPr>
        <w:t>diâmetro do halo de sensibilidade</w:t>
      </w:r>
      <w:r w:rsidRPr="001F1CBE">
        <w:rPr>
          <w:rFonts w:asciiTheme="minorHAnsi" w:hAnsiTheme="minorHAnsi"/>
          <w:lang w:val="pt-BR"/>
        </w:rPr>
        <w:t xml:space="preserve"> é </w:t>
      </w:r>
      <w:r w:rsidRPr="001F1CBE">
        <w:rPr>
          <w:rFonts w:asciiTheme="minorHAnsi" w:hAnsiTheme="minorHAnsi"/>
          <w:b/>
          <w:bCs/>
          <w:lang w:val="pt-BR"/>
        </w:rPr>
        <w:t>medido em mm</w:t>
      </w:r>
      <w:r w:rsidRPr="001F1CBE">
        <w:rPr>
          <w:rFonts w:asciiTheme="minorHAnsi" w:hAnsiTheme="minorHAnsi"/>
          <w:lang w:val="pt-BR"/>
        </w:rPr>
        <w:t xml:space="preserve"> e é analisado frente aos valores de um padrão em uma Tabela fornecida pelo fabricante dos antibióticos em análise (</w:t>
      </w:r>
      <w:r w:rsidRPr="001F1CBE">
        <w:rPr>
          <w:rFonts w:asciiTheme="minorHAnsi" w:hAnsiTheme="minorHAnsi"/>
          <w:b/>
          <w:bCs/>
          <w:lang w:val="pt-BR"/>
        </w:rPr>
        <w:t>Tabela 1</w:t>
      </w:r>
      <w:r w:rsidRPr="001F1CBE">
        <w:rPr>
          <w:rFonts w:asciiTheme="minorHAnsi" w:hAnsiTheme="minorHAnsi"/>
          <w:lang w:val="pt-BR"/>
        </w:rPr>
        <w:t xml:space="preserve">). Este procedimento permite se saber se a bactéria é:  </w:t>
      </w:r>
      <w:r w:rsidRPr="001F1CBE">
        <w:rPr>
          <w:rFonts w:asciiTheme="minorHAnsi" w:hAnsiTheme="minorHAnsi"/>
          <w:b/>
          <w:bCs/>
          <w:lang w:val="pt-BR"/>
        </w:rPr>
        <w:t>Sensível</w:t>
      </w:r>
      <w:r w:rsidRPr="001F1CBE">
        <w:rPr>
          <w:rFonts w:asciiTheme="minorHAnsi" w:hAnsiTheme="minorHAnsi"/>
          <w:lang w:val="pt-BR"/>
        </w:rPr>
        <w:t xml:space="preserve">, apresenta </w:t>
      </w:r>
      <w:r w:rsidRPr="001F1CBE">
        <w:rPr>
          <w:rFonts w:asciiTheme="minorHAnsi" w:hAnsiTheme="minorHAnsi"/>
          <w:b/>
          <w:bCs/>
          <w:lang w:val="pt-BR"/>
        </w:rPr>
        <w:t>Sensibilidade Intermediaria</w:t>
      </w:r>
      <w:r w:rsidRPr="001F1CBE">
        <w:rPr>
          <w:rFonts w:asciiTheme="minorHAnsi" w:hAnsiTheme="minorHAnsi"/>
          <w:lang w:val="pt-BR"/>
        </w:rPr>
        <w:t xml:space="preserve">, ou é </w:t>
      </w:r>
      <w:r w:rsidRPr="001F1CBE">
        <w:rPr>
          <w:rFonts w:asciiTheme="minorHAnsi" w:hAnsiTheme="minorHAnsi"/>
          <w:b/>
          <w:bCs/>
          <w:lang w:val="pt-BR"/>
        </w:rPr>
        <w:t xml:space="preserve">resistente </w:t>
      </w:r>
      <w:r w:rsidRPr="001F1CBE">
        <w:rPr>
          <w:rFonts w:asciiTheme="minorHAnsi" w:hAnsiTheme="minorHAnsi"/>
          <w:lang w:val="pt-BR"/>
        </w:rPr>
        <w:t xml:space="preserve">ao antibiótico presente no disco. </w:t>
      </w:r>
    </w:p>
    <w:p w14:paraId="1B1FDE23" w14:textId="77777777" w:rsidR="004B4AE3" w:rsidRDefault="004B4AE3" w:rsidP="004B4AE3">
      <w:pPr>
        <w:pStyle w:val="BodyA"/>
        <w:spacing w:after="120"/>
        <w:jc w:val="both"/>
        <w:rPr>
          <w:rFonts w:asciiTheme="minorHAnsi" w:hAnsiTheme="minorHAnsi"/>
          <w:lang w:val="pt-BR"/>
        </w:rPr>
      </w:pPr>
      <w:r w:rsidRPr="001F1CBE">
        <w:rPr>
          <w:rFonts w:asciiTheme="minorHAnsi" w:hAnsiTheme="minorHAnsi"/>
          <w:lang w:val="pt-BR"/>
        </w:rPr>
        <w:t xml:space="preserve">O antibiograma é uma técnica fundamental, pois permite a escolha do antimicrobiano apropriado para o controle de infeções bactérias. Assim, tem como objetivo determinar a sensibilidade aos antibióticos da bactéria em análise causadora da infeção. </w:t>
      </w:r>
    </w:p>
    <w:p w14:paraId="3099B171" w14:textId="77777777" w:rsidR="004B4AE3" w:rsidRPr="00A63EEC" w:rsidRDefault="004B4AE3" w:rsidP="004B4AE3">
      <w:pPr>
        <w:pStyle w:val="BodyA"/>
        <w:rPr>
          <w:rFonts w:ascii="Arial" w:eastAsia="Arial" w:hAnsi="Arial" w:cs="Arial"/>
          <w:b/>
          <w:bCs/>
          <w:lang w:val="pt-BR"/>
        </w:rPr>
      </w:pPr>
    </w:p>
    <w:p w14:paraId="133915E5" w14:textId="77777777" w:rsidR="004B4AE3" w:rsidRPr="006A4900" w:rsidRDefault="004B4AE3" w:rsidP="004B4AE3">
      <w:pPr>
        <w:pStyle w:val="Body"/>
        <w:rPr>
          <w:rFonts w:ascii="Arial" w:hAnsi="Arial" w:cs="Arial"/>
          <w:b/>
          <w:bCs/>
          <w:sz w:val="24"/>
          <w:szCs w:val="24"/>
          <w:lang w:val="pt-BR"/>
        </w:rPr>
      </w:pPr>
      <w:r w:rsidRPr="006A4900">
        <w:rPr>
          <w:rFonts w:ascii="Arial" w:hAnsi="Arial" w:cs="Arial"/>
          <w:b/>
          <w:bCs/>
          <w:sz w:val="24"/>
          <w:szCs w:val="24"/>
          <w:u w:color="000000"/>
          <w:lang w:val="pt-BR"/>
        </w:rPr>
        <w:t>B) Material:</w:t>
      </w:r>
    </w:p>
    <w:p w14:paraId="10099D81" w14:textId="77777777" w:rsidR="004B4AE3" w:rsidRPr="001F1CBE" w:rsidRDefault="004B4AE3" w:rsidP="004B4AE3">
      <w:pPr>
        <w:pStyle w:val="BodyA"/>
        <w:rPr>
          <w:rFonts w:asciiTheme="minorHAnsi" w:eastAsia="Arial" w:hAnsiTheme="minorHAnsi" w:cs="Arial"/>
          <w:lang w:val="pt-BR"/>
        </w:rPr>
      </w:pPr>
      <w:r w:rsidRPr="001F1CBE">
        <w:rPr>
          <w:rFonts w:asciiTheme="minorHAnsi" w:hAnsiTheme="minorHAnsi"/>
          <w:lang w:val="pt-BR"/>
        </w:rPr>
        <w:t xml:space="preserve">1 - Tubo com cultura líquida de </w:t>
      </w:r>
      <w:r w:rsidRPr="001F1CBE">
        <w:rPr>
          <w:rFonts w:asciiTheme="minorHAnsi" w:hAnsiTheme="minorHAnsi"/>
          <w:i/>
          <w:iCs/>
          <w:lang w:val="pt-BR"/>
        </w:rPr>
        <w:t>Staphylococcus aureus</w:t>
      </w:r>
      <w:r w:rsidRPr="001F1CBE">
        <w:rPr>
          <w:rFonts w:asciiTheme="minorHAnsi" w:hAnsiTheme="minorHAnsi"/>
          <w:lang w:val="pt-BR"/>
        </w:rPr>
        <w:t>;</w:t>
      </w:r>
    </w:p>
    <w:p w14:paraId="5BEC10E3" w14:textId="77777777" w:rsidR="004B4AE3" w:rsidRPr="001F1CBE" w:rsidRDefault="004B4AE3" w:rsidP="004B4AE3">
      <w:pPr>
        <w:pStyle w:val="BodyA"/>
        <w:rPr>
          <w:rFonts w:asciiTheme="minorHAnsi" w:eastAsia="Arial" w:hAnsiTheme="minorHAnsi" w:cs="Arial"/>
          <w:lang w:val="pt-BR"/>
        </w:rPr>
      </w:pPr>
      <w:r w:rsidRPr="001F1CBE">
        <w:rPr>
          <w:rFonts w:asciiTheme="minorHAnsi" w:hAnsiTheme="minorHAnsi"/>
          <w:lang w:val="pt-BR"/>
        </w:rPr>
        <w:t xml:space="preserve">2 - Tubo com cultura líquida de </w:t>
      </w:r>
      <w:r w:rsidRPr="001F1CBE">
        <w:rPr>
          <w:rFonts w:asciiTheme="minorHAnsi" w:hAnsiTheme="minorHAnsi"/>
          <w:i/>
          <w:iCs/>
          <w:lang w:val="pt-BR"/>
        </w:rPr>
        <w:t>Escherichia coli</w:t>
      </w:r>
      <w:r w:rsidRPr="001F1CBE">
        <w:rPr>
          <w:rFonts w:asciiTheme="minorHAnsi" w:hAnsiTheme="minorHAnsi"/>
          <w:lang w:val="pt-BR"/>
        </w:rPr>
        <w:t>;</w:t>
      </w:r>
    </w:p>
    <w:p w14:paraId="0A50C90F" w14:textId="77777777" w:rsidR="004B4AE3" w:rsidRPr="001F1CBE" w:rsidRDefault="004B4AE3" w:rsidP="004B4AE3">
      <w:pPr>
        <w:pStyle w:val="BodyA"/>
        <w:rPr>
          <w:rFonts w:asciiTheme="minorHAnsi" w:eastAsia="Arial" w:hAnsiTheme="minorHAnsi" w:cs="Arial"/>
          <w:lang w:val="pt-BR"/>
        </w:rPr>
      </w:pPr>
      <w:r w:rsidRPr="001F1CBE">
        <w:rPr>
          <w:rFonts w:asciiTheme="minorHAnsi" w:hAnsiTheme="minorHAnsi"/>
          <w:lang w:val="pt-BR"/>
        </w:rPr>
        <w:t>3 - Placas contendo meio sólido Mueller- Hinton (2 unidades);</w:t>
      </w:r>
    </w:p>
    <w:p w14:paraId="583DE9D6" w14:textId="77777777" w:rsidR="004B4AE3" w:rsidRPr="001F1CBE" w:rsidRDefault="004B4AE3" w:rsidP="004B4AE3">
      <w:pPr>
        <w:pStyle w:val="BodyA"/>
        <w:rPr>
          <w:rFonts w:asciiTheme="minorHAnsi" w:eastAsia="Arial" w:hAnsiTheme="minorHAnsi" w:cs="Arial"/>
          <w:lang w:val="pt-BR"/>
        </w:rPr>
      </w:pPr>
      <w:r w:rsidRPr="001F1CBE">
        <w:rPr>
          <w:rFonts w:asciiTheme="minorHAnsi" w:hAnsiTheme="minorHAnsi"/>
          <w:lang w:val="pt-BR"/>
        </w:rPr>
        <w:t>4 - Discos com Antibióticos;</w:t>
      </w:r>
    </w:p>
    <w:p w14:paraId="5A40A915" w14:textId="77777777" w:rsidR="004B4AE3" w:rsidRPr="001F1CBE" w:rsidRDefault="004B4AE3" w:rsidP="004B4AE3">
      <w:pPr>
        <w:pStyle w:val="BodyA"/>
        <w:rPr>
          <w:rFonts w:asciiTheme="minorHAnsi" w:eastAsia="Arial" w:hAnsiTheme="minorHAnsi" w:cs="Arial"/>
          <w:lang w:val="pt-BR"/>
        </w:rPr>
      </w:pPr>
      <w:r w:rsidRPr="001F1CBE">
        <w:rPr>
          <w:rFonts w:asciiTheme="minorHAnsi" w:hAnsiTheme="minorHAnsi"/>
          <w:lang w:val="pt-BR"/>
        </w:rPr>
        <w:t>5 - Zaragatoas (2 unidades), Pinça (1 unidade), régua (1 unidade)</w:t>
      </w:r>
    </w:p>
    <w:p w14:paraId="7DA36B82" w14:textId="77777777" w:rsidR="004B4AE3" w:rsidRPr="001F1CBE" w:rsidRDefault="004B4AE3" w:rsidP="004B4AE3">
      <w:pPr>
        <w:pStyle w:val="BodyA"/>
        <w:rPr>
          <w:rFonts w:asciiTheme="minorHAnsi" w:eastAsia="Arial" w:hAnsiTheme="minorHAnsi" w:cs="Arial"/>
          <w:b/>
          <w:bCs/>
          <w:lang w:val="pt-BR"/>
        </w:rPr>
      </w:pPr>
    </w:p>
    <w:p w14:paraId="0160551D" w14:textId="77777777" w:rsidR="004B4AE3" w:rsidRPr="006A4900" w:rsidRDefault="004B4AE3" w:rsidP="004B4AE3">
      <w:pPr>
        <w:pStyle w:val="BodyA"/>
        <w:rPr>
          <w:rFonts w:ascii="Arial" w:hAnsi="Arial" w:cs="Arial"/>
          <w:b/>
          <w:bCs/>
          <w:sz w:val="24"/>
          <w:szCs w:val="24"/>
          <w:lang w:val="pt-BR"/>
        </w:rPr>
      </w:pPr>
      <w:r w:rsidRPr="006A4900">
        <w:rPr>
          <w:rFonts w:ascii="Arial" w:hAnsi="Arial" w:cs="Arial"/>
          <w:b/>
          <w:bCs/>
          <w:sz w:val="24"/>
          <w:szCs w:val="24"/>
          <w:lang w:val="pt-BR"/>
        </w:rPr>
        <w:t>C) Procedimento:</w:t>
      </w:r>
    </w:p>
    <w:p w14:paraId="67ADE8D0" w14:textId="77777777" w:rsidR="004B4AE3" w:rsidRPr="001F1CBE" w:rsidRDefault="004B4AE3" w:rsidP="004B4AE3">
      <w:pPr>
        <w:pStyle w:val="BodyA"/>
        <w:spacing w:after="120"/>
        <w:jc w:val="both"/>
        <w:rPr>
          <w:rFonts w:asciiTheme="minorHAnsi" w:eastAsia="Arial" w:hAnsiTheme="minorHAnsi" w:cs="Arial"/>
          <w:lang w:val="pt-BR"/>
        </w:rPr>
      </w:pPr>
      <w:r w:rsidRPr="001F1CBE">
        <w:rPr>
          <w:rFonts w:asciiTheme="minorHAnsi" w:hAnsiTheme="minorHAnsi"/>
          <w:lang w:val="pt-BR"/>
        </w:rPr>
        <w:t>1. Utilizando uma zaragatoa e a técnicas de assepsia, coletar bactérias de uma cultura fresca bacteriana;</w:t>
      </w:r>
    </w:p>
    <w:p w14:paraId="15C96502" w14:textId="77777777" w:rsidR="004B4AE3" w:rsidRPr="001F1CBE" w:rsidRDefault="004B4AE3" w:rsidP="004B4AE3">
      <w:pPr>
        <w:pStyle w:val="BodyA"/>
        <w:spacing w:after="120"/>
        <w:jc w:val="both"/>
        <w:rPr>
          <w:rFonts w:asciiTheme="minorHAnsi" w:eastAsia="Arial" w:hAnsiTheme="minorHAnsi" w:cs="Arial"/>
          <w:lang w:val="pt-BR"/>
        </w:rPr>
      </w:pPr>
      <w:r w:rsidRPr="001F1CBE">
        <w:rPr>
          <w:rFonts w:asciiTheme="minorHAnsi" w:hAnsiTheme="minorHAnsi"/>
          <w:lang w:val="pt-BR"/>
        </w:rPr>
        <w:t>2. Espalhar uniformemente as células sobre a superfície de meio sólido Mueller-Hinton contido numa placa de Petri;</w:t>
      </w:r>
    </w:p>
    <w:p w14:paraId="6A34BCD0" w14:textId="77777777" w:rsidR="004B4AE3" w:rsidRDefault="004B4AE3" w:rsidP="004B4AE3">
      <w:pPr>
        <w:pStyle w:val="BodyA"/>
        <w:spacing w:after="120"/>
        <w:jc w:val="both"/>
        <w:rPr>
          <w:rFonts w:asciiTheme="minorHAnsi" w:hAnsiTheme="minorHAnsi"/>
          <w:lang w:val="pt-BR"/>
        </w:rPr>
      </w:pPr>
      <w:r w:rsidRPr="001F1CBE">
        <w:rPr>
          <w:rFonts w:asciiTheme="minorHAnsi" w:hAnsiTheme="minorHAnsi"/>
          <w:lang w:val="pt-BR"/>
        </w:rPr>
        <w:t>3. Deixar secar a superfície;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77"/>
        <w:gridCol w:w="4517"/>
      </w:tblGrid>
      <w:tr w:rsidR="004B4AE3" w14:paraId="10B5E10C" w14:textId="77777777" w:rsidTr="00EC11B8">
        <w:tc>
          <w:tcPr>
            <w:tcW w:w="5807" w:type="dxa"/>
          </w:tcPr>
          <w:p w14:paraId="043C7585" w14:textId="77777777" w:rsidR="004B4AE3" w:rsidRPr="001F1CBE" w:rsidRDefault="004B4AE3" w:rsidP="00EC11B8">
            <w:pPr>
              <w:pStyle w:val="BodyA"/>
              <w:spacing w:after="120"/>
              <w:jc w:val="both"/>
              <w:rPr>
                <w:rFonts w:asciiTheme="minorHAnsi" w:eastAsia="Arial" w:hAnsiTheme="minorHAnsi" w:cs="Arial"/>
                <w:lang w:val="pt-BR"/>
              </w:rPr>
            </w:pPr>
            <w:r w:rsidRPr="001F1CBE">
              <w:rPr>
                <w:rFonts w:asciiTheme="minorHAnsi" w:hAnsiTheme="minorHAnsi"/>
                <w:lang w:val="pt-BR"/>
              </w:rPr>
              <w:t>4. Dispensar os discos de antibióticos na tampa da placa de Petri. Utilizando uma pinça, depositar os discos na superfície da cultura em meio sólido, tendo o cuidado de deixá-los uniformemente e bem espaçados. Não arrastar os discos sobre o meio de cultura porque a difusão inicia-se imediatamente</w:t>
            </w:r>
            <w:r>
              <w:rPr>
                <w:rFonts w:asciiTheme="minorHAnsi" w:hAnsiTheme="minorHAnsi"/>
                <w:lang w:val="pt-BR"/>
              </w:rPr>
              <w:t xml:space="preserve"> (</w:t>
            </w:r>
            <w:r w:rsidRPr="001F1CBE">
              <w:rPr>
                <w:rFonts w:asciiTheme="minorHAnsi" w:hAnsiTheme="minorHAnsi"/>
                <w:b/>
                <w:bCs/>
                <w:lang w:val="pt-BR"/>
              </w:rPr>
              <w:t>Fig. 1</w:t>
            </w:r>
            <w:r>
              <w:rPr>
                <w:rFonts w:asciiTheme="minorHAnsi" w:hAnsiTheme="minorHAnsi"/>
                <w:lang w:val="pt-BR"/>
              </w:rPr>
              <w:t>)</w:t>
            </w:r>
            <w:r w:rsidRPr="001F1CBE">
              <w:rPr>
                <w:rFonts w:asciiTheme="minorHAnsi" w:hAnsiTheme="minorHAnsi"/>
                <w:lang w:val="pt-BR"/>
              </w:rPr>
              <w:t xml:space="preserve">; </w:t>
            </w:r>
          </w:p>
        </w:tc>
        <w:tc>
          <w:tcPr>
            <w:tcW w:w="3543" w:type="dxa"/>
          </w:tcPr>
          <w:p w14:paraId="1E752FC2" w14:textId="77777777" w:rsidR="004B4AE3" w:rsidRDefault="004B4AE3" w:rsidP="00EC11B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6086EE43" wp14:editId="336F75C1">
                  <wp:extent cx="2731135" cy="1523331"/>
                  <wp:effectExtent l="0" t="0" r="0" b="1270"/>
                  <wp:docPr id="3" name="Picture 3" descr="UNIVERSIDADE FEDERAL DE OURO PRETO Núcleo de Pesquisas em Ciências  Biológicas Programa de Pós-Graduação em Ciências Biológicas - PDF Download 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DADE FEDERAL DE OURO PRETO Núcleo de Pesquisas em Ciências  Biológicas Programa de Pós-Graduação em Ciências Biológicas - PDF Download 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963" cy="1551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874C59" w14:textId="77777777" w:rsidR="004B4AE3" w:rsidRPr="00F61EFB" w:rsidRDefault="004B4AE3" w:rsidP="004B4AE3">
      <w:pPr>
        <w:pStyle w:val="BodyA"/>
        <w:spacing w:after="120"/>
        <w:jc w:val="both"/>
        <w:rPr>
          <w:rFonts w:asciiTheme="minorHAnsi" w:hAnsiTheme="minorHAnsi"/>
          <w:sz w:val="10"/>
          <w:szCs w:val="10"/>
          <w:lang w:val="pt-BR"/>
        </w:rPr>
      </w:pPr>
    </w:p>
    <w:p w14:paraId="5D88B4A4" w14:textId="77777777" w:rsidR="004B4AE3" w:rsidRPr="001F1CBE" w:rsidRDefault="004B4AE3" w:rsidP="004B4AE3">
      <w:pPr>
        <w:pStyle w:val="BodyA"/>
        <w:spacing w:after="120"/>
        <w:jc w:val="both"/>
        <w:rPr>
          <w:rFonts w:asciiTheme="minorHAnsi" w:eastAsia="Arial" w:hAnsiTheme="minorHAnsi" w:cs="Arial"/>
          <w:lang w:val="pt-BR"/>
        </w:rPr>
      </w:pPr>
      <w:r w:rsidRPr="001F1CBE">
        <w:rPr>
          <w:rFonts w:asciiTheme="minorHAnsi" w:hAnsiTheme="minorHAnsi"/>
          <w:lang w:val="pt-BR"/>
        </w:rPr>
        <w:t xml:space="preserve">5. Incubar em estufa, a 37 </w:t>
      </w:r>
      <w:proofErr w:type="spellStart"/>
      <w:r w:rsidRPr="001F1CBE">
        <w:rPr>
          <w:rFonts w:asciiTheme="minorHAnsi" w:hAnsiTheme="minorHAnsi"/>
          <w:lang w:val="pt-BR"/>
        </w:rPr>
        <w:t>ºC</w:t>
      </w:r>
      <w:proofErr w:type="spellEnd"/>
      <w:r>
        <w:rPr>
          <w:rFonts w:asciiTheme="minorHAnsi" w:hAnsiTheme="minorHAnsi"/>
          <w:lang w:val="pt-BR"/>
        </w:rPr>
        <w:t xml:space="preserve">, </w:t>
      </w:r>
      <w:r w:rsidRPr="001F1CBE">
        <w:rPr>
          <w:rFonts w:asciiTheme="minorHAnsi" w:hAnsiTheme="minorHAnsi"/>
          <w:lang w:val="pt-BR"/>
        </w:rPr>
        <w:t>durante 16</w:t>
      </w:r>
      <w:r>
        <w:rPr>
          <w:rFonts w:asciiTheme="minorHAnsi" w:hAnsiTheme="minorHAnsi"/>
          <w:lang w:val="pt-BR"/>
        </w:rPr>
        <w:t>-24</w:t>
      </w:r>
      <w:r w:rsidRPr="001F1CBE">
        <w:rPr>
          <w:rFonts w:asciiTheme="minorHAnsi" w:hAnsiTheme="minorHAnsi"/>
          <w:lang w:val="pt-BR"/>
        </w:rPr>
        <w:t xml:space="preserve"> horas.</w:t>
      </w:r>
    </w:p>
    <w:p w14:paraId="53E7CE2F" w14:textId="77777777" w:rsidR="004B4AE3" w:rsidRPr="004B4AE3" w:rsidRDefault="004B4AE3">
      <w:pPr>
        <w:rPr>
          <w:lang w:val="pt-BR"/>
        </w:rPr>
      </w:pPr>
    </w:p>
    <w:sectPr w:rsidR="004B4AE3" w:rsidRPr="004B4A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E3"/>
    <w:rsid w:val="004B4AE3"/>
    <w:rsid w:val="00855BB7"/>
    <w:rsid w:val="00C350E6"/>
    <w:rsid w:val="00E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B44509"/>
  <w15:chartTrackingRefBased/>
  <w15:docId w15:val="{13AF56CA-8717-E246-B1C4-49313BE0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A">
    <w:name w:val="Body A"/>
    <w:rsid w:val="004B4A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4B4A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pt-PT"/>
    </w:rPr>
  </w:style>
  <w:style w:type="table" w:styleId="Tabelacomgrade">
    <w:name w:val="Table Grid"/>
    <w:basedOn w:val="Tabelanormal"/>
    <w:uiPriority w:val="39"/>
    <w:rsid w:val="004B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Vicente Brandt</dc:creator>
  <cp:keywords/>
  <dc:description/>
  <cp:lastModifiedBy>Felipe Vicente Brandt</cp:lastModifiedBy>
  <cp:revision>2</cp:revision>
  <cp:lastPrinted>2021-08-12T01:09:00Z</cp:lastPrinted>
  <dcterms:created xsi:type="dcterms:W3CDTF">2021-09-13T16:53:00Z</dcterms:created>
  <dcterms:modified xsi:type="dcterms:W3CDTF">2021-09-13T16:53:00Z</dcterms:modified>
</cp:coreProperties>
</file>