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FE7" w14:textId="77777777" w:rsidR="00003A27" w:rsidRPr="00E46520" w:rsidRDefault="00003A27" w:rsidP="007B2C7C">
      <w:pPr>
        <w:ind w:left="720" w:hanging="360"/>
        <w:jc w:val="both"/>
      </w:pPr>
    </w:p>
    <w:p w14:paraId="1DCABED9" w14:textId="0B9BA90B" w:rsidR="00003A27" w:rsidRPr="00E46520" w:rsidRDefault="00003A27" w:rsidP="00003A27">
      <w:pPr>
        <w:jc w:val="center"/>
        <w:rPr>
          <w:rFonts w:ascii="Times New Roman" w:hAnsi="Times New Roman" w:cs="Times New Roman"/>
          <w:b/>
          <w:bCs/>
        </w:rPr>
      </w:pPr>
      <w:r w:rsidRPr="00E46520">
        <w:rPr>
          <w:rFonts w:ascii="Times New Roman" w:hAnsi="Times New Roman" w:cs="Times New Roman"/>
          <w:b/>
          <w:bCs/>
        </w:rPr>
        <w:t>Prova final turma 2</w:t>
      </w:r>
    </w:p>
    <w:p w14:paraId="281153C4" w14:textId="124C13AE" w:rsidR="00003A27" w:rsidRPr="00E46520" w:rsidRDefault="00003A27" w:rsidP="00003A27">
      <w:pPr>
        <w:jc w:val="center"/>
        <w:rPr>
          <w:rFonts w:ascii="Times New Roman" w:hAnsi="Times New Roman" w:cs="Times New Roman"/>
          <w:b/>
          <w:bCs/>
        </w:rPr>
      </w:pPr>
      <w:r w:rsidRPr="00E46520">
        <w:rPr>
          <w:rFonts w:ascii="Times New Roman" w:hAnsi="Times New Roman" w:cs="Times New Roman"/>
          <w:b/>
          <w:bCs/>
        </w:rPr>
        <w:t>26/07/2021</w:t>
      </w:r>
    </w:p>
    <w:p w14:paraId="2F56DEDE" w14:textId="77777777" w:rsidR="00003A27" w:rsidRPr="00E46520" w:rsidRDefault="00003A27" w:rsidP="00003A27">
      <w:pPr>
        <w:pStyle w:val="PargrafodaLista"/>
        <w:jc w:val="both"/>
        <w:rPr>
          <w:rFonts w:ascii="Times New Roman" w:hAnsi="Times New Roman" w:cs="Times New Roman"/>
        </w:rPr>
      </w:pPr>
    </w:p>
    <w:p w14:paraId="2AB52176" w14:textId="7FEC6397" w:rsidR="00003A27" w:rsidRPr="00E46520" w:rsidRDefault="00AC54A4" w:rsidP="00003A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(2</w:t>
      </w:r>
      <w:r w:rsidR="00D45AE9" w:rsidRPr="00E46520">
        <w:rPr>
          <w:rFonts w:ascii="Times New Roman" w:hAnsi="Times New Roman" w:cs="Times New Roman"/>
        </w:rPr>
        <w:t>,</w:t>
      </w:r>
      <w:r w:rsidR="00E46520" w:rsidRPr="00E46520">
        <w:rPr>
          <w:rFonts w:ascii="Times New Roman" w:hAnsi="Times New Roman" w:cs="Times New Roman"/>
        </w:rPr>
        <w:t>0</w:t>
      </w:r>
      <w:r w:rsidRPr="00E46520">
        <w:rPr>
          <w:rFonts w:ascii="Times New Roman" w:hAnsi="Times New Roman" w:cs="Times New Roman"/>
        </w:rPr>
        <w:t xml:space="preserve"> pontos) </w:t>
      </w:r>
      <w:r w:rsidR="00003A27" w:rsidRPr="00E46520">
        <w:rPr>
          <w:rFonts w:ascii="Times New Roman" w:hAnsi="Times New Roman" w:cs="Times New Roman"/>
        </w:rPr>
        <w:t>A rainha Elizabeth I aparentemente declarou no seu leito de morte: “</w:t>
      </w:r>
      <w:proofErr w:type="spellStart"/>
      <w:r w:rsidR="00003A27" w:rsidRPr="00E46520">
        <w:rPr>
          <w:rFonts w:ascii="Times New Roman" w:hAnsi="Times New Roman" w:cs="Times New Roman"/>
        </w:rPr>
        <w:t>All</w:t>
      </w:r>
      <w:proofErr w:type="spellEnd"/>
      <w:r w:rsidR="00003A27" w:rsidRPr="00E46520">
        <w:rPr>
          <w:rFonts w:ascii="Times New Roman" w:hAnsi="Times New Roman" w:cs="Times New Roman"/>
        </w:rPr>
        <w:t xml:space="preserve"> </w:t>
      </w:r>
      <w:proofErr w:type="spellStart"/>
      <w:r w:rsidR="00003A27" w:rsidRPr="00E46520">
        <w:rPr>
          <w:rFonts w:ascii="Times New Roman" w:hAnsi="Times New Roman" w:cs="Times New Roman"/>
        </w:rPr>
        <w:t>my</w:t>
      </w:r>
      <w:proofErr w:type="spellEnd"/>
      <w:r w:rsidR="00003A27" w:rsidRPr="00E46520">
        <w:rPr>
          <w:rFonts w:ascii="Times New Roman" w:hAnsi="Times New Roman" w:cs="Times New Roman"/>
        </w:rPr>
        <w:t xml:space="preserve"> </w:t>
      </w:r>
      <w:proofErr w:type="spellStart"/>
      <w:r w:rsidR="00003A27" w:rsidRPr="00E46520">
        <w:rPr>
          <w:rFonts w:ascii="Times New Roman" w:hAnsi="Times New Roman" w:cs="Times New Roman"/>
        </w:rPr>
        <w:t>possessions</w:t>
      </w:r>
      <w:proofErr w:type="spellEnd"/>
      <w:r w:rsidR="00003A27" w:rsidRPr="00E46520">
        <w:rPr>
          <w:rFonts w:ascii="Times New Roman" w:hAnsi="Times New Roman" w:cs="Times New Roman"/>
        </w:rPr>
        <w:t xml:space="preserve"> for </w:t>
      </w:r>
      <w:proofErr w:type="spellStart"/>
      <w:r w:rsidR="00003A27" w:rsidRPr="00E46520">
        <w:rPr>
          <w:rFonts w:ascii="Times New Roman" w:hAnsi="Times New Roman" w:cs="Times New Roman"/>
        </w:rPr>
        <w:t>an</w:t>
      </w:r>
      <w:proofErr w:type="spellEnd"/>
      <w:r w:rsidR="00003A27" w:rsidRPr="00E46520">
        <w:rPr>
          <w:rFonts w:ascii="Times New Roman" w:hAnsi="Times New Roman" w:cs="Times New Roman"/>
        </w:rPr>
        <w:t xml:space="preserve"> </w:t>
      </w:r>
      <w:proofErr w:type="spellStart"/>
      <w:r w:rsidR="00003A27" w:rsidRPr="00E46520">
        <w:rPr>
          <w:rFonts w:ascii="Times New Roman" w:hAnsi="Times New Roman" w:cs="Times New Roman"/>
        </w:rPr>
        <w:t>instant</w:t>
      </w:r>
      <w:proofErr w:type="spellEnd"/>
      <w:r w:rsidR="00003A27" w:rsidRPr="00E46520">
        <w:rPr>
          <w:rFonts w:ascii="Times New Roman" w:hAnsi="Times New Roman" w:cs="Times New Roman"/>
        </w:rPr>
        <w:t xml:space="preserve"> </w:t>
      </w:r>
      <w:proofErr w:type="spellStart"/>
      <w:r w:rsidR="00003A27" w:rsidRPr="00E46520">
        <w:rPr>
          <w:rFonts w:ascii="Times New Roman" w:hAnsi="Times New Roman" w:cs="Times New Roman"/>
        </w:rPr>
        <w:t>of</w:t>
      </w:r>
      <w:proofErr w:type="spellEnd"/>
      <w:r w:rsidR="00003A27" w:rsidRPr="00E46520">
        <w:rPr>
          <w:rFonts w:ascii="Times New Roman" w:hAnsi="Times New Roman" w:cs="Times New Roman"/>
        </w:rPr>
        <w:t xml:space="preserve"> time”. A partir desta declaração, o que é possível inferir sobre o valor que Elizabeth I atribuía a sua vida (alto, baixo ou depende)? </w:t>
      </w:r>
      <w:r w:rsidRPr="00E46520">
        <w:rPr>
          <w:rFonts w:ascii="Times New Roman" w:hAnsi="Times New Roman" w:cs="Times New Roman"/>
        </w:rPr>
        <w:t>Lembre-se que a rainha Elizabeth I não teve filhos. As ponderações que você fez para responder à pergunta anterior</w:t>
      </w:r>
      <w:r w:rsidR="00003A27" w:rsidRPr="00E46520">
        <w:rPr>
          <w:rFonts w:ascii="Times New Roman" w:hAnsi="Times New Roman" w:cs="Times New Roman"/>
        </w:rPr>
        <w:t xml:space="preserve"> </w:t>
      </w:r>
      <w:r w:rsidRPr="00E46520">
        <w:rPr>
          <w:rFonts w:ascii="Times New Roman" w:hAnsi="Times New Roman" w:cs="Times New Roman"/>
        </w:rPr>
        <w:t>chamam atenção para os cuidados que se deve tomar ao interpretar um desejo de pagar declarado. Quais são esses cuidados?</w:t>
      </w:r>
      <w:r w:rsidR="00003A27" w:rsidRPr="00E46520">
        <w:rPr>
          <w:rFonts w:ascii="Times New Roman" w:hAnsi="Times New Roman" w:cs="Times New Roman"/>
        </w:rPr>
        <w:t xml:space="preserve"> Explique. Quais são os métodos que os economistas usam para valorar a vida? </w:t>
      </w:r>
    </w:p>
    <w:p w14:paraId="01D186AF" w14:textId="77777777" w:rsidR="00003A27" w:rsidRPr="00E46520" w:rsidRDefault="00003A27" w:rsidP="00003A27">
      <w:pPr>
        <w:pStyle w:val="PargrafodaLista"/>
        <w:rPr>
          <w:rFonts w:ascii="Times New Roman" w:hAnsi="Times New Roman" w:cs="Times New Roman"/>
        </w:rPr>
      </w:pPr>
    </w:p>
    <w:p w14:paraId="5E28A0BE" w14:textId="1EBE0941" w:rsidR="00003A27" w:rsidRDefault="00003A27" w:rsidP="00003A27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E46520">
        <w:rPr>
          <w:rFonts w:ascii="Times New Roman" w:hAnsi="Times New Roman" w:cs="Times New Roman"/>
          <w:b/>
          <w:bCs/>
        </w:rPr>
        <w:t xml:space="preserve">Resposta: À primeira vista parece que a rainha Elizabeth </w:t>
      </w:r>
      <w:r w:rsidR="00D230B1">
        <w:rPr>
          <w:rFonts w:ascii="Times New Roman" w:hAnsi="Times New Roman" w:cs="Times New Roman"/>
          <w:b/>
          <w:bCs/>
        </w:rPr>
        <w:t>deseja</w:t>
      </w:r>
      <w:r w:rsidRPr="00E46520">
        <w:rPr>
          <w:rFonts w:ascii="Times New Roman" w:hAnsi="Times New Roman" w:cs="Times New Roman"/>
          <w:b/>
          <w:bCs/>
        </w:rPr>
        <w:t xml:space="preserve"> pagar um alto preço para aproveitar um instante de tempo, colocando assim um valor muito alto à vida. Olhando mais de perto, é necessário questionar o preço que Elizabeth I pagaria. Se ela estivesse de fato morrendo, o valor para ela dos seus “bens” seria zero. Elizabeth I não tinha filhos, então o valor da herança para ela também era muito pequeno. Essas observações têm como objetivo chamar atenção para interpretar um desejo de pagar declarado. É sempre fácil declarar um alto desejo de pagar se não há um custo efetivo.  Se ao contrário Elizabeth I tivesse desejosa de viver em pobreza</w:t>
      </w:r>
      <w:r w:rsidR="00D230B1">
        <w:rPr>
          <w:rFonts w:ascii="Times New Roman" w:hAnsi="Times New Roman" w:cs="Times New Roman"/>
          <w:b/>
          <w:bCs/>
        </w:rPr>
        <w:t xml:space="preserve">, </w:t>
      </w:r>
      <w:r w:rsidRPr="00E46520">
        <w:rPr>
          <w:rFonts w:ascii="Times New Roman" w:hAnsi="Times New Roman" w:cs="Times New Roman"/>
          <w:b/>
          <w:bCs/>
        </w:rPr>
        <w:t xml:space="preserve">depois de </w:t>
      </w:r>
      <w:proofErr w:type="gramStart"/>
      <w:r w:rsidRPr="00E46520">
        <w:rPr>
          <w:rFonts w:ascii="Times New Roman" w:hAnsi="Times New Roman" w:cs="Times New Roman"/>
          <w:b/>
          <w:bCs/>
        </w:rPr>
        <w:t>abrir mão de</w:t>
      </w:r>
      <w:proofErr w:type="gramEnd"/>
      <w:r w:rsidRPr="00E46520">
        <w:rPr>
          <w:rFonts w:ascii="Times New Roman" w:hAnsi="Times New Roman" w:cs="Times New Roman"/>
          <w:b/>
          <w:bCs/>
        </w:rPr>
        <w:t xml:space="preserve"> todas as suas posses</w:t>
      </w:r>
      <w:r w:rsidR="00D230B1">
        <w:rPr>
          <w:rFonts w:ascii="Times New Roman" w:hAnsi="Times New Roman" w:cs="Times New Roman"/>
          <w:b/>
          <w:bCs/>
        </w:rPr>
        <w:t>,</w:t>
      </w:r>
      <w:r w:rsidRPr="00E46520">
        <w:rPr>
          <w:rFonts w:ascii="Times New Roman" w:hAnsi="Times New Roman" w:cs="Times New Roman"/>
          <w:b/>
          <w:bCs/>
        </w:rPr>
        <w:t xml:space="preserve"> por um ano adicional de vida, então ela estaria expressando um valor significante pela vida. A valoração de Elizabeth I é também muito pessoal. O que um economista necessita é uma média do desejo de pagar. </w:t>
      </w:r>
    </w:p>
    <w:p w14:paraId="7B75BA6E" w14:textId="04324965" w:rsidR="0078698C" w:rsidRPr="00E46520" w:rsidRDefault="0078698C" w:rsidP="00003A27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formas possíveis de valorar a vida vistas em aulas com uma explicação rápida.</w:t>
      </w:r>
    </w:p>
    <w:p w14:paraId="41D947CF" w14:textId="0E441349" w:rsidR="00003A27" w:rsidRPr="00E46520" w:rsidRDefault="00003A27" w:rsidP="00AC54A4">
      <w:pPr>
        <w:pStyle w:val="PargrafodaLista"/>
        <w:jc w:val="both"/>
        <w:rPr>
          <w:rFonts w:ascii="Times New Roman" w:hAnsi="Times New Roman" w:cs="Times New Roman"/>
        </w:rPr>
      </w:pPr>
    </w:p>
    <w:p w14:paraId="042F3C32" w14:textId="45A32EA9" w:rsidR="00B77BF0" w:rsidRPr="00E46520" w:rsidRDefault="00AC54A4" w:rsidP="00B77B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(</w:t>
      </w:r>
      <w:r w:rsidR="00622866">
        <w:rPr>
          <w:rFonts w:ascii="Times New Roman" w:hAnsi="Times New Roman" w:cs="Times New Roman"/>
        </w:rPr>
        <w:t>1,5</w:t>
      </w:r>
      <w:r w:rsidRPr="00E46520">
        <w:rPr>
          <w:rFonts w:ascii="Times New Roman" w:hAnsi="Times New Roman" w:cs="Times New Roman"/>
        </w:rPr>
        <w:t xml:space="preserve"> pontos</w:t>
      </w:r>
      <w:proofErr w:type="gramStart"/>
      <w:r w:rsidRPr="00E46520">
        <w:rPr>
          <w:rFonts w:ascii="Times New Roman" w:hAnsi="Times New Roman" w:cs="Times New Roman"/>
        </w:rPr>
        <w:t xml:space="preserve">) </w:t>
      </w:r>
      <w:r w:rsidR="00B77BF0" w:rsidRPr="00E46520">
        <w:rPr>
          <w:rFonts w:ascii="Times New Roman" w:hAnsi="Times New Roman" w:cs="Times New Roman"/>
        </w:rPr>
        <w:t>Diga</w:t>
      </w:r>
      <w:proofErr w:type="gramEnd"/>
      <w:r w:rsidR="00B77BF0" w:rsidRPr="00E46520">
        <w:rPr>
          <w:rFonts w:ascii="Times New Roman" w:hAnsi="Times New Roman" w:cs="Times New Roman"/>
        </w:rPr>
        <w:t xml:space="preserve"> se a afirmativa abaixo é verdadeira ou falsa e justifique: “A menor mobilidade </w:t>
      </w:r>
      <w:proofErr w:type="spellStart"/>
      <w:r w:rsidR="00B77BF0" w:rsidRPr="00E46520">
        <w:rPr>
          <w:rFonts w:ascii="Times New Roman" w:hAnsi="Times New Roman" w:cs="Times New Roman"/>
        </w:rPr>
        <w:t>interjurisdicional</w:t>
      </w:r>
      <w:proofErr w:type="spellEnd"/>
      <w:r w:rsidR="00B77BF0" w:rsidRPr="00E46520">
        <w:rPr>
          <w:rFonts w:ascii="Times New Roman" w:hAnsi="Times New Roman" w:cs="Times New Roman"/>
        </w:rPr>
        <w:t xml:space="preserve"> nas regiões com menor concentração populacional (caracterizadas por municípios de maior tamanho e maior distância intermunicipal), explica a menor incidência do </w:t>
      </w:r>
      <w:r w:rsidR="00B77BF0" w:rsidRPr="00E46520">
        <w:rPr>
          <w:rFonts w:ascii="Times New Roman" w:hAnsi="Times New Roman" w:cs="Times New Roman"/>
          <w:i/>
          <w:iCs/>
        </w:rPr>
        <w:t xml:space="preserve">efeito </w:t>
      </w:r>
      <w:proofErr w:type="spellStart"/>
      <w:r w:rsidR="00B77BF0" w:rsidRPr="00E46520">
        <w:rPr>
          <w:rFonts w:ascii="Times New Roman" w:hAnsi="Times New Roman" w:cs="Times New Roman"/>
          <w:i/>
          <w:iCs/>
        </w:rPr>
        <w:t>flypaper</w:t>
      </w:r>
      <w:proofErr w:type="spellEnd"/>
      <w:r w:rsidR="00B77BF0" w:rsidRPr="00E46520">
        <w:rPr>
          <w:rFonts w:ascii="Times New Roman" w:hAnsi="Times New Roman" w:cs="Times New Roman"/>
        </w:rPr>
        <w:t xml:space="preserve"> em regiões onde a população </w:t>
      </w:r>
      <w:r w:rsidR="00B47979" w:rsidRPr="00E46520">
        <w:rPr>
          <w:rFonts w:ascii="Times New Roman" w:hAnsi="Times New Roman" w:cs="Times New Roman"/>
        </w:rPr>
        <w:t>é</w:t>
      </w:r>
      <w:r w:rsidR="00B77BF0" w:rsidRPr="00E46520">
        <w:rPr>
          <w:rFonts w:ascii="Times New Roman" w:hAnsi="Times New Roman" w:cs="Times New Roman"/>
        </w:rPr>
        <w:t xml:space="preserve"> mais espalhada espacialmente.</w:t>
      </w:r>
    </w:p>
    <w:p w14:paraId="727BE5A8" w14:textId="53C6942C" w:rsidR="00B77BF0" w:rsidRPr="00E46520" w:rsidRDefault="00B77BF0" w:rsidP="00B77BF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 xml:space="preserve"> </w:t>
      </w:r>
    </w:p>
    <w:p w14:paraId="7118E4F3" w14:textId="77E84A3B" w:rsidR="009E3D32" w:rsidRDefault="00B77BF0" w:rsidP="00D230B1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r w:rsidRPr="00E46520">
        <w:rPr>
          <w:rFonts w:ascii="Times New Roman" w:hAnsi="Times New Roman" w:cs="Times New Roman"/>
          <w:b/>
          <w:bCs/>
        </w:rPr>
        <w:t xml:space="preserve">Resposta: </w:t>
      </w:r>
      <w:r w:rsidR="00B47979" w:rsidRPr="00E46520">
        <w:rPr>
          <w:rFonts w:ascii="Times New Roman" w:hAnsi="Times New Roman" w:cs="Times New Roman"/>
          <w:b/>
          <w:bCs/>
        </w:rPr>
        <w:t xml:space="preserve">O </w:t>
      </w:r>
      <w:r w:rsidR="00B47979" w:rsidRPr="00E46520">
        <w:rPr>
          <w:rFonts w:ascii="Times New Roman" w:hAnsi="Times New Roman" w:cs="Times New Roman"/>
          <w:b/>
          <w:bCs/>
          <w:i/>
          <w:iCs/>
        </w:rPr>
        <w:t xml:space="preserve">efeito </w:t>
      </w:r>
      <w:proofErr w:type="spellStart"/>
      <w:r w:rsidR="00B47979" w:rsidRPr="00E46520">
        <w:rPr>
          <w:rFonts w:ascii="Times New Roman" w:hAnsi="Times New Roman" w:cs="Times New Roman"/>
          <w:b/>
          <w:bCs/>
          <w:i/>
          <w:iCs/>
        </w:rPr>
        <w:t>flypaper</w:t>
      </w:r>
      <w:proofErr w:type="spellEnd"/>
      <w:r w:rsidR="00B47979" w:rsidRPr="00E46520">
        <w:rPr>
          <w:rFonts w:ascii="Times New Roman" w:hAnsi="Times New Roman" w:cs="Times New Roman"/>
          <w:b/>
          <w:bCs/>
        </w:rPr>
        <w:t xml:space="preserve"> implica que as transferências constitucionais destinadas aos municípios provocam uma expansão de gastos públicos municipais significativamente maior do que aquele resultante de aumentos da renda </w:t>
      </w:r>
      <w:r w:rsidR="00B47979" w:rsidRPr="00E46520">
        <w:rPr>
          <w:rFonts w:ascii="Times New Roman" w:hAnsi="Times New Roman" w:cs="Times New Roman"/>
          <w:b/>
          <w:bCs/>
          <w:i/>
          <w:iCs/>
        </w:rPr>
        <w:t>per capita</w:t>
      </w:r>
      <w:r w:rsidR="00B47979" w:rsidRPr="00E46520">
        <w:rPr>
          <w:rFonts w:ascii="Times New Roman" w:hAnsi="Times New Roman" w:cs="Times New Roman"/>
          <w:b/>
          <w:bCs/>
        </w:rPr>
        <w:t xml:space="preserve"> dos contribuintes. É um fenômeno empírico, que contradiz os resultados tradicionais. A literatura procurou explicar esse fenômeno usando argumentos teóricos </w:t>
      </w:r>
      <w:r w:rsidR="00D230B1">
        <w:rPr>
          <w:rFonts w:ascii="Times New Roman" w:hAnsi="Times New Roman" w:cs="Times New Roman"/>
          <w:b/>
          <w:bCs/>
        </w:rPr>
        <w:t>e</w:t>
      </w:r>
      <w:r w:rsidR="00B47979" w:rsidRPr="00E46520">
        <w:rPr>
          <w:rFonts w:ascii="Times New Roman" w:hAnsi="Times New Roman" w:cs="Times New Roman"/>
          <w:b/>
          <w:bCs/>
        </w:rPr>
        <w:t xml:space="preserve"> empíricos.</w:t>
      </w:r>
      <w:r w:rsidR="00B47979" w:rsidRPr="00E46520">
        <w:t xml:space="preserve"> </w:t>
      </w:r>
      <w:r w:rsidR="00B47979" w:rsidRPr="00E46520">
        <w:rPr>
          <w:rFonts w:ascii="Times New Roman" w:hAnsi="Times New Roman" w:cs="Times New Roman"/>
          <w:b/>
          <w:bCs/>
        </w:rPr>
        <w:t xml:space="preserve">Os argumentos teóricos envolvem em geral problemas de informação e esses podem ser usadas para classificar a afirmativa como </w:t>
      </w:r>
      <w:r w:rsidR="0078698C">
        <w:rPr>
          <w:rFonts w:ascii="Times New Roman" w:hAnsi="Times New Roman" w:cs="Times New Roman"/>
          <w:b/>
          <w:bCs/>
        </w:rPr>
        <w:t>FALSA</w:t>
      </w:r>
      <w:r w:rsidR="00B47979" w:rsidRPr="00E46520">
        <w:rPr>
          <w:rFonts w:ascii="Times New Roman" w:hAnsi="Times New Roman" w:cs="Times New Roman"/>
          <w:b/>
          <w:bCs/>
        </w:rPr>
        <w:t xml:space="preserve">. A nível teórico, a menor mobilidade </w:t>
      </w:r>
      <w:proofErr w:type="spellStart"/>
      <w:r w:rsidR="00B47979" w:rsidRPr="00E46520">
        <w:rPr>
          <w:rFonts w:ascii="Times New Roman" w:hAnsi="Times New Roman" w:cs="Times New Roman"/>
          <w:b/>
          <w:bCs/>
        </w:rPr>
        <w:t>interjurisdicional</w:t>
      </w:r>
      <w:proofErr w:type="spellEnd"/>
      <w:r w:rsidR="00B47979" w:rsidRPr="00E46520">
        <w:rPr>
          <w:rFonts w:ascii="Times New Roman" w:hAnsi="Times New Roman" w:cs="Times New Roman"/>
          <w:b/>
          <w:bCs/>
        </w:rPr>
        <w:t xml:space="preserve"> nas regiões com menor concentração populacional (caracterizadas por municípios de maior tamanho e maior distância intermunicipal)</w:t>
      </w:r>
      <w:r w:rsidR="0078698C">
        <w:rPr>
          <w:rFonts w:ascii="Times New Roman" w:hAnsi="Times New Roman" w:cs="Times New Roman"/>
          <w:b/>
          <w:bCs/>
        </w:rPr>
        <w:t xml:space="preserve"> leva a menor possibilidade de “votar com os pés”.</w:t>
      </w:r>
      <w:r w:rsidR="00B47979" w:rsidRPr="00E46520">
        <w:rPr>
          <w:rFonts w:ascii="Times New Roman" w:hAnsi="Times New Roman" w:cs="Times New Roman"/>
          <w:b/>
          <w:bCs/>
        </w:rPr>
        <w:t xml:space="preserve"> Nestas regiões a concorrência entre municípios é menor (já que os contribuintes não podem se mobilizar facilmente na busca por uma melhor oferta de bens públicos) e, portanto, os burocratas locais têm menos restrições a seu comportamento maximizador de orçamento.</w:t>
      </w:r>
    </w:p>
    <w:p w14:paraId="28BA2BE8" w14:textId="093332EF" w:rsidR="00EE29CE" w:rsidRDefault="00EE29CE" w:rsidP="00D230B1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0C35B186" w14:textId="3A01036A" w:rsidR="00EE29CE" w:rsidRDefault="00EE29CE" w:rsidP="00EE29C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9CE">
        <w:rPr>
          <w:rFonts w:ascii="Times New Roman" w:hAnsi="Times New Roman" w:cs="Times New Roman"/>
        </w:rPr>
        <w:lastRenderedPageBreak/>
        <w:t xml:space="preserve">(1 </w:t>
      </w:r>
      <w:r w:rsidR="00622866">
        <w:rPr>
          <w:rFonts w:ascii="Times New Roman" w:hAnsi="Times New Roman" w:cs="Times New Roman"/>
        </w:rPr>
        <w:t>,5 pontos</w:t>
      </w:r>
      <w:r w:rsidRPr="00EE29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Considere um país composto de dois estados, A e B. Existe um estoque fixo de capital, K, que é alocado entre os dois estados com base na taxa de retorno depois dos impostos. Supor que a taxa de retorno depois dos impostos é igual a r – </w:t>
      </w:r>
      <w:proofErr w:type="spellStart"/>
      <w:r>
        <w:rPr>
          <w:rFonts w:ascii="Times New Roman" w:hAnsi="Times New Roman" w:cs="Times New Roman"/>
        </w:rPr>
        <w:t>mKi</w:t>
      </w:r>
      <w:proofErr w:type="spellEnd"/>
      <w:r>
        <w:rPr>
          <w:rFonts w:ascii="Times New Roman" w:hAnsi="Times New Roman" w:cs="Times New Roman"/>
        </w:rPr>
        <w:t xml:space="preserve"> – ti, onde Ki é a quantidade de capital no estado i e ti é a alíquota de imposto no estado i.</w:t>
      </w:r>
    </w:p>
    <w:p w14:paraId="5FFD8756" w14:textId="1C3DE36F" w:rsidR="00EE29CE" w:rsidRDefault="00EE29CE" w:rsidP="00EE29CE">
      <w:pPr>
        <w:pStyle w:val="PargrafodaLista"/>
        <w:jc w:val="both"/>
        <w:rPr>
          <w:rFonts w:ascii="Times New Roman" w:hAnsi="Times New Roman" w:cs="Times New Roman"/>
        </w:rPr>
      </w:pPr>
    </w:p>
    <w:p w14:paraId="0D4AD01A" w14:textId="1DF08E19" w:rsidR="00EE29CE" w:rsidRDefault="00EE29CE" w:rsidP="00EE29C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Forneça uma interpretação do parâmetro m.</w:t>
      </w:r>
    </w:p>
    <w:p w14:paraId="30881E83" w14:textId="48257F19" w:rsidR="00EE29CE" w:rsidRDefault="00EE29CE" w:rsidP="00EE29C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alíquotas de impostos não cooperativas são iguais a </w:t>
      </w:r>
      <w:proofErr w:type="spellStart"/>
      <w:r>
        <w:rPr>
          <w:rFonts w:ascii="Times New Roman" w:hAnsi="Times New Roman" w:cs="Times New Roman"/>
        </w:rPr>
        <w:t>tn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mK.</w:t>
      </w:r>
      <w:proofErr w:type="spellEnd"/>
      <w:r>
        <w:rPr>
          <w:rFonts w:ascii="Times New Roman" w:hAnsi="Times New Roman" w:cs="Times New Roman"/>
        </w:rPr>
        <w:t xml:space="preserve">  As alíquotas de imposto eficiente</w:t>
      </w:r>
      <w:r w:rsidR="007837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(cooperativas) são iguais a te = r –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/2.  Quais são as implicações desses achados para a política de taxação</w:t>
      </w:r>
      <w:r w:rsidR="00D01F4C">
        <w:rPr>
          <w:rFonts w:ascii="Times New Roman" w:hAnsi="Times New Roman" w:cs="Times New Roman"/>
        </w:rPr>
        <w:t xml:space="preserve"> (melhor cooperar ou não cooperar)</w:t>
      </w:r>
      <w:r w:rsidR="00783753">
        <w:rPr>
          <w:rFonts w:ascii="Times New Roman" w:hAnsi="Times New Roman" w:cs="Times New Roman"/>
        </w:rPr>
        <w:t>?  Você deve fazer uma suposição antes para que essas implicações façam sentido.</w:t>
      </w:r>
    </w:p>
    <w:p w14:paraId="28E61074" w14:textId="77777777" w:rsidR="00783753" w:rsidRDefault="00783753" w:rsidP="00783753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14:paraId="04F5AC41" w14:textId="77777777" w:rsidR="00783753" w:rsidRPr="00783753" w:rsidRDefault="00783753" w:rsidP="00783753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783753">
        <w:rPr>
          <w:rFonts w:ascii="Times New Roman" w:hAnsi="Times New Roman" w:cs="Times New Roman"/>
          <w:b/>
          <w:bCs/>
        </w:rPr>
        <w:t xml:space="preserve">r – </w:t>
      </w:r>
      <w:proofErr w:type="spellStart"/>
      <w:r w:rsidRPr="00783753">
        <w:rPr>
          <w:rFonts w:ascii="Times New Roman" w:hAnsi="Times New Roman" w:cs="Times New Roman"/>
          <w:b/>
          <w:bCs/>
        </w:rPr>
        <w:t>mKi</w:t>
      </w:r>
      <w:proofErr w:type="spellEnd"/>
      <w:r w:rsidRPr="00783753">
        <w:rPr>
          <w:rFonts w:ascii="Times New Roman" w:hAnsi="Times New Roman" w:cs="Times New Roman"/>
          <w:b/>
          <w:bCs/>
        </w:rPr>
        <w:t xml:space="preserve"> deve ser o produto marginal do capital, então m mede a taxa à qual ele cai à medida que mais capital entra no estado</w:t>
      </w:r>
    </w:p>
    <w:p w14:paraId="5ED294C8" w14:textId="6F3BFCB4" w:rsidR="00783753" w:rsidRPr="00783753" w:rsidRDefault="00783753" w:rsidP="00783753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783753">
        <w:rPr>
          <w:rFonts w:ascii="Times New Roman" w:hAnsi="Times New Roman" w:cs="Times New Roman"/>
          <w:b/>
          <w:bCs/>
        </w:rPr>
        <w:t xml:space="preserve">Desde que r – </w:t>
      </w:r>
      <w:proofErr w:type="spellStart"/>
      <w:r w:rsidRPr="00783753">
        <w:rPr>
          <w:rFonts w:ascii="Times New Roman" w:hAnsi="Times New Roman" w:cs="Times New Roman"/>
          <w:b/>
          <w:bCs/>
        </w:rPr>
        <w:t>mK</w:t>
      </w:r>
      <w:proofErr w:type="spellEnd"/>
      <w:r w:rsidRPr="00783753">
        <w:rPr>
          <w:rFonts w:ascii="Times New Roman" w:hAnsi="Times New Roman" w:cs="Times New Roman"/>
          <w:b/>
          <w:bCs/>
        </w:rPr>
        <w:t xml:space="preserve">/2 &gt; 0, te &gt; </w:t>
      </w:r>
      <w:proofErr w:type="spellStart"/>
      <w:r w:rsidRPr="00783753">
        <w:rPr>
          <w:rFonts w:ascii="Times New Roman" w:hAnsi="Times New Roman" w:cs="Times New Roman"/>
          <w:b/>
          <w:bCs/>
        </w:rPr>
        <w:t>tn</w:t>
      </w:r>
      <w:proofErr w:type="spellEnd"/>
      <w:r w:rsidRPr="00783753">
        <w:rPr>
          <w:rFonts w:ascii="Times New Roman" w:hAnsi="Times New Roman" w:cs="Times New Roman"/>
          <w:b/>
          <w:bCs/>
        </w:rPr>
        <w:t>. Esses resultados mostram que competição na fixação de alíquotas de impostos conduz a um nível ineficientemente baixo da alíquota de imposto.</w:t>
      </w:r>
      <w:r w:rsidRPr="0078375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64"/>
          <w:szCs w:val="64"/>
          <w:lang w:eastAsia="pt-BR"/>
        </w:rPr>
        <w:t xml:space="preserve"> </w:t>
      </w:r>
      <w:r w:rsidRPr="00783753">
        <w:rPr>
          <w:rFonts w:ascii="Times New Roman" w:hAnsi="Times New Roman" w:cs="Times New Roman"/>
          <w:b/>
          <w:bCs/>
        </w:rPr>
        <w:t xml:space="preserve">Na verdade, com a fixação de impostos cooperativa, as jurisdições podem maximizar a renda líquida de seus residentes taxando completamente o fator móvel, como visto na aula. O </w:t>
      </w:r>
      <w:proofErr w:type="gramStart"/>
      <w:r w:rsidRPr="00783753">
        <w:rPr>
          <w:rFonts w:ascii="Times New Roman" w:hAnsi="Times New Roman" w:cs="Times New Roman"/>
          <w:b/>
          <w:bCs/>
        </w:rPr>
        <w:t>bem estar</w:t>
      </w:r>
      <w:proofErr w:type="gramEnd"/>
      <w:r w:rsidRPr="00783753">
        <w:rPr>
          <w:rFonts w:ascii="Times New Roman" w:hAnsi="Times New Roman" w:cs="Times New Roman"/>
          <w:b/>
          <w:bCs/>
        </w:rPr>
        <w:t xml:space="preserve"> é mais alto com a cooperação. O equilíbrio não cooperativo, por sua </w:t>
      </w:r>
      <w:proofErr w:type="gramStart"/>
      <w:r w:rsidRPr="00783753">
        <w:rPr>
          <w:rFonts w:ascii="Times New Roman" w:hAnsi="Times New Roman" w:cs="Times New Roman"/>
          <w:b/>
          <w:bCs/>
        </w:rPr>
        <w:t xml:space="preserve">vez,  </w:t>
      </w:r>
      <w:r w:rsidR="00622866">
        <w:rPr>
          <w:rFonts w:ascii="Times New Roman" w:hAnsi="Times New Roman" w:cs="Times New Roman"/>
          <w:b/>
          <w:bCs/>
        </w:rPr>
        <w:t>leva</w:t>
      </w:r>
      <w:proofErr w:type="gramEnd"/>
      <w:r w:rsidR="00622866">
        <w:rPr>
          <w:rFonts w:ascii="Times New Roman" w:hAnsi="Times New Roman" w:cs="Times New Roman"/>
          <w:b/>
          <w:bCs/>
        </w:rPr>
        <w:t xml:space="preserve"> </w:t>
      </w:r>
      <w:r w:rsidRPr="00783753">
        <w:rPr>
          <w:rFonts w:ascii="Times New Roman" w:hAnsi="Times New Roman" w:cs="Times New Roman"/>
          <w:b/>
          <w:bCs/>
        </w:rPr>
        <w:t xml:space="preserve">a um imposto mais baixo sobre o capital.  A perda de </w:t>
      </w:r>
      <w:proofErr w:type="gramStart"/>
      <w:r w:rsidRPr="00783753">
        <w:rPr>
          <w:rFonts w:ascii="Times New Roman" w:hAnsi="Times New Roman" w:cs="Times New Roman"/>
          <w:b/>
          <w:bCs/>
        </w:rPr>
        <w:t>bem estar</w:t>
      </w:r>
      <w:proofErr w:type="gramEnd"/>
      <w:r w:rsidRPr="00783753">
        <w:rPr>
          <w:rFonts w:ascii="Times New Roman" w:hAnsi="Times New Roman" w:cs="Times New Roman"/>
          <w:b/>
          <w:bCs/>
        </w:rPr>
        <w:t xml:space="preserve"> potencial é o custo de eficiência da competição fiscal.</w:t>
      </w:r>
    </w:p>
    <w:p w14:paraId="17DC46D2" w14:textId="789597E3" w:rsidR="009E3D32" w:rsidRPr="00E46520" w:rsidRDefault="009E3D32" w:rsidP="00AC54A4">
      <w:pPr>
        <w:pStyle w:val="PargrafodaLista"/>
        <w:jc w:val="both"/>
        <w:rPr>
          <w:rFonts w:ascii="Times New Roman" w:hAnsi="Times New Roman" w:cs="Times New Roman"/>
        </w:rPr>
      </w:pPr>
    </w:p>
    <w:p w14:paraId="1C2FC6E5" w14:textId="4D555B8F" w:rsidR="007B2C7C" w:rsidRPr="00622866" w:rsidRDefault="009E3D32" w:rsidP="009E3D32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212529"/>
          <w:sz w:val="22"/>
          <w:szCs w:val="22"/>
        </w:rPr>
      </w:pPr>
      <w:r w:rsidRPr="00E46520">
        <w:rPr>
          <w:color w:val="212529"/>
          <w:sz w:val="22"/>
          <w:szCs w:val="22"/>
        </w:rPr>
        <w:t>(</w:t>
      </w:r>
      <w:r w:rsidR="00783753">
        <w:rPr>
          <w:color w:val="212529"/>
          <w:sz w:val="22"/>
          <w:szCs w:val="22"/>
        </w:rPr>
        <w:t>5</w:t>
      </w:r>
      <w:r w:rsidRPr="00E46520">
        <w:rPr>
          <w:color w:val="212529"/>
          <w:sz w:val="22"/>
          <w:szCs w:val="22"/>
        </w:rPr>
        <w:t xml:space="preserve"> pontos</w:t>
      </w:r>
      <w:proofErr w:type="gramStart"/>
      <w:r w:rsidRPr="00E46520">
        <w:rPr>
          <w:color w:val="212529"/>
          <w:sz w:val="22"/>
          <w:szCs w:val="22"/>
        </w:rPr>
        <w:t>) Diga</w:t>
      </w:r>
      <w:proofErr w:type="gramEnd"/>
      <w:r w:rsidRPr="00E46520">
        <w:rPr>
          <w:color w:val="212529"/>
          <w:sz w:val="22"/>
          <w:szCs w:val="22"/>
        </w:rPr>
        <w:t xml:space="preserve"> se as afirmativas são verdadeiras ou falsas. Procure não tentar adivinhar, pois</w:t>
      </w:r>
      <w:r w:rsidRPr="00E46520">
        <w:rPr>
          <w:b/>
          <w:bCs/>
          <w:color w:val="212529"/>
          <w:sz w:val="22"/>
          <w:szCs w:val="22"/>
        </w:rPr>
        <w:t> DUAS</w:t>
      </w:r>
      <w:r w:rsidRPr="00E46520">
        <w:rPr>
          <w:color w:val="212529"/>
          <w:sz w:val="22"/>
          <w:szCs w:val="22"/>
        </w:rPr>
        <w:t> respostas incorretas anulam </w:t>
      </w:r>
      <w:r w:rsidRPr="00E46520">
        <w:rPr>
          <w:b/>
          <w:bCs/>
          <w:color w:val="212529"/>
          <w:sz w:val="22"/>
          <w:szCs w:val="22"/>
        </w:rPr>
        <w:t>UMA</w:t>
      </w:r>
      <w:r w:rsidRPr="00E46520">
        <w:rPr>
          <w:color w:val="212529"/>
          <w:sz w:val="22"/>
          <w:szCs w:val="22"/>
        </w:rPr>
        <w:t> resposta dada corretamente.</w:t>
      </w:r>
    </w:p>
    <w:p w14:paraId="513D930B" w14:textId="06E51FBE" w:rsidR="0090487D" w:rsidRDefault="007B2C7C" w:rsidP="009E3D3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 xml:space="preserve">O Programa Renda Cidadã é um programa de transferência de renda do governo do Estado de São Paulo que tem como objetivo atender famílias em situação de pobreza mediante ações complementares e transferência direta de renda, como apoio financeiro temporário do Estado. </w:t>
      </w:r>
      <w:r w:rsidR="00FE6059" w:rsidRPr="00E46520">
        <w:rPr>
          <w:rFonts w:ascii="Times New Roman" w:hAnsi="Times New Roman" w:cs="Times New Roman"/>
        </w:rPr>
        <w:t>De acordo com a teoria do federalismo fiscal ótimo p</w:t>
      </w:r>
      <w:r w:rsidRPr="00E46520">
        <w:rPr>
          <w:rFonts w:ascii="Times New Roman" w:hAnsi="Times New Roman" w:cs="Times New Roman"/>
        </w:rPr>
        <w:t>rogramas desta natureza deveri</w:t>
      </w:r>
      <w:r w:rsidR="00FE6059" w:rsidRPr="00E46520">
        <w:rPr>
          <w:rFonts w:ascii="Times New Roman" w:hAnsi="Times New Roman" w:cs="Times New Roman"/>
        </w:rPr>
        <w:t xml:space="preserve">am ser levados adiantes pelos governos </w:t>
      </w:r>
      <w:r w:rsidR="00D230B1">
        <w:rPr>
          <w:rFonts w:ascii="Times New Roman" w:hAnsi="Times New Roman" w:cs="Times New Roman"/>
        </w:rPr>
        <w:t>municipais</w:t>
      </w:r>
      <w:r w:rsidR="00FE6059" w:rsidRPr="00E46520">
        <w:rPr>
          <w:rFonts w:ascii="Times New Roman" w:hAnsi="Times New Roman" w:cs="Times New Roman"/>
        </w:rPr>
        <w:t>.</w:t>
      </w:r>
    </w:p>
    <w:p w14:paraId="43F507A5" w14:textId="2A331A96" w:rsidR="00D230B1" w:rsidRPr="00D230B1" w:rsidRDefault="00D230B1" w:rsidP="00D230B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8FB793" w14:textId="12FE2A0B" w:rsidR="00D230B1" w:rsidRDefault="00D230B1" w:rsidP="00D230B1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D230B1">
        <w:rPr>
          <w:rFonts w:ascii="Times New Roman" w:hAnsi="Times New Roman" w:cs="Times New Roman"/>
          <w:b/>
          <w:bCs/>
        </w:rPr>
        <w:t>Falso. Quando a população não percebe uma relação taxação-benefício forte do programa este deve ser provido de forma centralizada</w:t>
      </w:r>
      <w:r>
        <w:rPr>
          <w:rFonts w:ascii="Times New Roman" w:hAnsi="Times New Roman" w:cs="Times New Roman"/>
        </w:rPr>
        <w:t xml:space="preserve">. </w:t>
      </w:r>
    </w:p>
    <w:p w14:paraId="0EACF6B8" w14:textId="77777777" w:rsidR="00D230B1" w:rsidRPr="00E46520" w:rsidRDefault="00D230B1" w:rsidP="00D230B1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574D5C49" w14:textId="601B24A9" w:rsidR="00D87BC0" w:rsidRDefault="00630459" w:rsidP="009E3D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A existência de regras de zoneamento restritivas fornece argumentos contra a redistribuição de recursos de localidades com alta receita, altos gastos para localidades com baixa receita, baixos gastos.</w:t>
      </w:r>
    </w:p>
    <w:p w14:paraId="0C5A5C36" w14:textId="7921BC0E" w:rsidR="00D230B1" w:rsidRPr="00387525" w:rsidRDefault="00D230B1" w:rsidP="00D230B1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1E384CDD" w14:textId="11798D57" w:rsidR="00D230B1" w:rsidRPr="00387525" w:rsidRDefault="00D230B1" w:rsidP="00D230B1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r w:rsidRPr="00387525">
        <w:rPr>
          <w:rFonts w:ascii="Times New Roman" w:hAnsi="Times New Roman" w:cs="Times New Roman"/>
          <w:b/>
          <w:bCs/>
        </w:rPr>
        <w:t xml:space="preserve">Falso. Fornece argumentos a favor porque as regras de zoneamento representam uma limitação à mobilidade através dos preços dos imóveis. Se o modelo de </w:t>
      </w:r>
      <w:proofErr w:type="spellStart"/>
      <w:r w:rsidRPr="00387525">
        <w:rPr>
          <w:rFonts w:ascii="Times New Roman" w:hAnsi="Times New Roman" w:cs="Times New Roman"/>
          <w:b/>
          <w:bCs/>
        </w:rPr>
        <w:t>Tiebout</w:t>
      </w:r>
      <w:proofErr w:type="spellEnd"/>
      <w:r w:rsidRPr="00387525">
        <w:rPr>
          <w:rFonts w:ascii="Times New Roman" w:hAnsi="Times New Roman" w:cs="Times New Roman"/>
          <w:b/>
          <w:bCs/>
        </w:rPr>
        <w:t xml:space="preserve"> funciona perfeitamente não encontramos argumentos para a redistribuição de recursos entre as localidades, mas se existe uma falha </w:t>
      </w:r>
      <w:r w:rsidR="00387525" w:rsidRPr="00387525">
        <w:rPr>
          <w:rFonts w:ascii="Times New Roman" w:hAnsi="Times New Roman" w:cs="Times New Roman"/>
          <w:b/>
          <w:bCs/>
        </w:rPr>
        <w:t xml:space="preserve">no modelo de </w:t>
      </w:r>
      <w:proofErr w:type="spellStart"/>
      <w:r w:rsidR="00387525" w:rsidRPr="00387525">
        <w:rPr>
          <w:rFonts w:ascii="Times New Roman" w:hAnsi="Times New Roman" w:cs="Times New Roman"/>
          <w:b/>
          <w:bCs/>
        </w:rPr>
        <w:t>Tiebout</w:t>
      </w:r>
      <w:proofErr w:type="spellEnd"/>
      <w:r w:rsidR="00387525" w:rsidRPr="00387525">
        <w:rPr>
          <w:rFonts w:ascii="Times New Roman" w:hAnsi="Times New Roman" w:cs="Times New Roman"/>
          <w:b/>
          <w:bCs/>
        </w:rPr>
        <w:t xml:space="preserve"> aí aparecem argumentos para justificar a redistribuição.</w:t>
      </w:r>
    </w:p>
    <w:p w14:paraId="15A3F9A0" w14:textId="77777777" w:rsidR="00D230B1" w:rsidRPr="00E46520" w:rsidRDefault="00D230B1" w:rsidP="00D230B1">
      <w:pPr>
        <w:pStyle w:val="PargrafodaLista"/>
        <w:jc w:val="both"/>
        <w:rPr>
          <w:rFonts w:ascii="Times New Roman" w:hAnsi="Times New Roman" w:cs="Times New Roman"/>
        </w:rPr>
      </w:pPr>
    </w:p>
    <w:p w14:paraId="3B9C6C5A" w14:textId="0B73AA82" w:rsidR="00D87BC0" w:rsidRDefault="00D97F37" w:rsidP="007F6F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87BC0" w:rsidRPr="00E46520">
        <w:rPr>
          <w:rFonts w:ascii="Times New Roman" w:hAnsi="Times New Roman" w:cs="Times New Roman"/>
        </w:rPr>
        <w:t xml:space="preserve"> aumento das despesas em educação proporcionado pelas compensações financeiras</w:t>
      </w:r>
      <w:r w:rsidR="00C00546" w:rsidRPr="00E46520">
        <w:rPr>
          <w:rFonts w:ascii="Times New Roman" w:hAnsi="Times New Roman" w:cs="Times New Roman"/>
        </w:rPr>
        <w:t xml:space="preserve"> pela exploração</w:t>
      </w:r>
      <w:r w:rsidR="00D87BC0" w:rsidRPr="00E46520">
        <w:rPr>
          <w:rFonts w:ascii="Times New Roman" w:hAnsi="Times New Roman" w:cs="Times New Roman"/>
        </w:rPr>
        <w:t xml:space="preserve"> da</w:t>
      </w:r>
      <w:r w:rsidR="00C00546" w:rsidRPr="00E46520">
        <w:rPr>
          <w:rFonts w:ascii="Times New Roman" w:hAnsi="Times New Roman" w:cs="Times New Roman"/>
        </w:rPr>
        <w:t>s</w:t>
      </w:r>
      <w:r w:rsidR="00D87BC0" w:rsidRPr="00E46520">
        <w:rPr>
          <w:rFonts w:ascii="Times New Roman" w:hAnsi="Times New Roman" w:cs="Times New Roman"/>
        </w:rPr>
        <w:t xml:space="preserve"> atividade</w:t>
      </w:r>
      <w:r w:rsidR="00C00546" w:rsidRPr="00E46520">
        <w:rPr>
          <w:rFonts w:ascii="Times New Roman" w:hAnsi="Times New Roman" w:cs="Times New Roman"/>
        </w:rPr>
        <w:t>s</w:t>
      </w:r>
      <w:r w:rsidR="00D87BC0" w:rsidRPr="00E46520">
        <w:rPr>
          <w:rFonts w:ascii="Times New Roman" w:hAnsi="Times New Roman" w:cs="Times New Roman"/>
        </w:rPr>
        <w:t xml:space="preserve"> do petróleo</w:t>
      </w:r>
      <w:r>
        <w:rPr>
          <w:rFonts w:ascii="Times New Roman" w:hAnsi="Times New Roman" w:cs="Times New Roman"/>
        </w:rPr>
        <w:t xml:space="preserve"> não deve ser muito grande de acordo com as previsões d</w:t>
      </w:r>
      <w:r w:rsidR="00672885" w:rsidRPr="00E46520">
        <w:rPr>
          <w:rFonts w:ascii="Times New Roman" w:hAnsi="Times New Roman" w:cs="Times New Roman"/>
        </w:rPr>
        <w:t>o modelo padrão de transferências dessa natureza.</w:t>
      </w:r>
    </w:p>
    <w:p w14:paraId="34E1EC00" w14:textId="5A277B50" w:rsidR="00387525" w:rsidRDefault="00387525" w:rsidP="00387525">
      <w:pPr>
        <w:pStyle w:val="PargrafodaLista"/>
        <w:jc w:val="both"/>
        <w:rPr>
          <w:rFonts w:ascii="Times New Roman" w:hAnsi="Times New Roman" w:cs="Times New Roman"/>
        </w:rPr>
      </w:pPr>
    </w:p>
    <w:p w14:paraId="37B2988F" w14:textId="2F4E6005" w:rsidR="00387525" w:rsidRPr="00387525" w:rsidRDefault="00387525" w:rsidP="00387525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Verdadeiro</w:t>
      </w:r>
      <w:r w:rsidRPr="00387525">
        <w:rPr>
          <w:rFonts w:ascii="Times New Roman" w:hAnsi="Times New Roman" w:cs="Times New Roman"/>
          <w:b/>
          <w:bCs/>
        </w:rPr>
        <w:t>. O modelo padrão de transferências não condicionais como os royalties implica que elas têm um impacto pequeno sobre os gastos</w:t>
      </w:r>
      <w:r>
        <w:rPr>
          <w:rFonts w:ascii="Times New Roman" w:hAnsi="Times New Roman" w:cs="Times New Roman"/>
          <w:b/>
          <w:bCs/>
        </w:rPr>
        <w:t>,</w:t>
      </w:r>
      <w:r w:rsidRPr="00387525">
        <w:rPr>
          <w:rFonts w:ascii="Times New Roman" w:hAnsi="Times New Roman" w:cs="Times New Roman"/>
          <w:b/>
          <w:bCs/>
        </w:rPr>
        <w:t xml:space="preserve"> uma vez que possibilitam os entes que recebem os recursos gastá-los livremente (o </w:t>
      </w:r>
      <w:r>
        <w:rPr>
          <w:rFonts w:ascii="Times New Roman" w:hAnsi="Times New Roman" w:cs="Times New Roman"/>
          <w:b/>
          <w:bCs/>
        </w:rPr>
        <w:t>efeito</w:t>
      </w:r>
      <w:r w:rsidRPr="00387525">
        <w:rPr>
          <w:rFonts w:ascii="Times New Roman" w:hAnsi="Times New Roman" w:cs="Times New Roman"/>
          <w:b/>
          <w:bCs/>
        </w:rPr>
        <w:t xml:space="preserve"> é maximizar o </w:t>
      </w:r>
      <w:proofErr w:type="gramStart"/>
      <w:r w:rsidRPr="00387525">
        <w:rPr>
          <w:rFonts w:ascii="Times New Roman" w:hAnsi="Times New Roman" w:cs="Times New Roman"/>
          <w:b/>
          <w:bCs/>
        </w:rPr>
        <w:t>bem estar</w:t>
      </w:r>
      <w:proofErr w:type="gramEnd"/>
      <w:r w:rsidRPr="00387525">
        <w:rPr>
          <w:rFonts w:ascii="Times New Roman" w:hAnsi="Times New Roman" w:cs="Times New Roman"/>
          <w:b/>
          <w:bCs/>
        </w:rPr>
        <w:t xml:space="preserve"> local). </w:t>
      </w:r>
    </w:p>
    <w:p w14:paraId="5648E905" w14:textId="77777777" w:rsidR="00387525" w:rsidRPr="00E46520" w:rsidRDefault="00387525" w:rsidP="00387525">
      <w:pPr>
        <w:pStyle w:val="PargrafodaLista"/>
        <w:jc w:val="both"/>
        <w:rPr>
          <w:rFonts w:ascii="Times New Roman" w:hAnsi="Times New Roman" w:cs="Times New Roman"/>
        </w:rPr>
      </w:pPr>
    </w:p>
    <w:p w14:paraId="1F4B4B89" w14:textId="6CC67322" w:rsidR="00F27C2E" w:rsidRDefault="00F27C2E" w:rsidP="007F6FC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 xml:space="preserve">O método da </w:t>
      </w:r>
      <w:r w:rsidR="00C00546" w:rsidRPr="00E46520">
        <w:rPr>
          <w:rFonts w:ascii="Times New Roman" w:hAnsi="Times New Roman" w:cs="Times New Roman"/>
        </w:rPr>
        <w:t>valoração contingente</w:t>
      </w:r>
      <w:r w:rsidRPr="00E46520">
        <w:rPr>
          <w:rFonts w:ascii="Times New Roman" w:hAnsi="Times New Roman" w:cs="Times New Roman"/>
        </w:rPr>
        <w:t xml:space="preserve"> subestima o valor da vida. Os indivíduos não têm informação precisa sobre os riscos com os quais eles se defrontam e tendem a ignorar as informações que eles têm no que diz respeito ao risco que eles enfrentam em seus trabalhos.</w:t>
      </w:r>
    </w:p>
    <w:p w14:paraId="143BDEF5" w14:textId="57E51D5E" w:rsidR="00387525" w:rsidRPr="00387525" w:rsidRDefault="00387525" w:rsidP="00387525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0BA47A1D" w14:textId="298A4550" w:rsidR="00387525" w:rsidRDefault="00387525" w:rsidP="00387525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r w:rsidRPr="00387525">
        <w:rPr>
          <w:rFonts w:ascii="Times New Roman" w:hAnsi="Times New Roman" w:cs="Times New Roman"/>
          <w:b/>
          <w:bCs/>
        </w:rPr>
        <w:t>Falso. Método da preferência revelada e não da valoração contingente.</w:t>
      </w:r>
    </w:p>
    <w:p w14:paraId="3891EA4D" w14:textId="77777777" w:rsidR="00783753" w:rsidRPr="00387525" w:rsidRDefault="00783753" w:rsidP="00387525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7D03742C" w14:textId="2FAE7990" w:rsidR="009E3D32" w:rsidRDefault="00F0357B" w:rsidP="009E3D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Competição fiscal implica que os contribuintes podem votar com os pés, escolhendo a região com a prestação de serviços governamentais mais eficiente. Isso torna a base tributária de um</w:t>
      </w:r>
      <w:r w:rsidR="00A04262" w:rsidRPr="00E46520">
        <w:rPr>
          <w:rFonts w:ascii="Times New Roman" w:hAnsi="Times New Roman" w:cs="Times New Roman"/>
        </w:rPr>
        <w:t>a região dependente da vontade dos seus habitantes</w:t>
      </w:r>
      <w:r w:rsidR="009E3D32" w:rsidRPr="00E46520">
        <w:rPr>
          <w:rFonts w:ascii="Times New Roman" w:hAnsi="Times New Roman" w:cs="Times New Roman"/>
        </w:rPr>
        <w:t xml:space="preserve"> </w:t>
      </w:r>
      <w:r w:rsidRPr="00E46520">
        <w:rPr>
          <w:rFonts w:ascii="Times New Roman" w:hAnsi="Times New Roman" w:cs="Times New Roman"/>
        </w:rPr>
        <w:t>porque o contribuinte pode evitar impostos renunciando à cidadania ou emigrando e, assim, mudando a residência fiscal.</w:t>
      </w:r>
    </w:p>
    <w:p w14:paraId="537A5B82" w14:textId="0CEF4471" w:rsidR="004B7524" w:rsidRPr="004B7524" w:rsidRDefault="004B7524" w:rsidP="004B7524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4B7524">
        <w:rPr>
          <w:rFonts w:ascii="Times New Roman" w:hAnsi="Times New Roman" w:cs="Times New Roman"/>
          <w:b/>
          <w:bCs/>
        </w:rPr>
        <w:t>Verdadeiro</w:t>
      </w:r>
    </w:p>
    <w:p w14:paraId="2552ABAF" w14:textId="1465DEE9" w:rsidR="00003A27" w:rsidRDefault="00003A27" w:rsidP="009E3D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 xml:space="preserve">O modelo de </w:t>
      </w:r>
      <w:proofErr w:type="spellStart"/>
      <w:r w:rsidRPr="00E46520">
        <w:rPr>
          <w:rFonts w:ascii="Times New Roman" w:hAnsi="Times New Roman" w:cs="Times New Roman"/>
        </w:rPr>
        <w:t>Tiebout</w:t>
      </w:r>
      <w:proofErr w:type="spellEnd"/>
      <w:r w:rsidRPr="00E46520">
        <w:rPr>
          <w:rFonts w:ascii="Times New Roman" w:hAnsi="Times New Roman" w:cs="Times New Roman"/>
        </w:rPr>
        <w:t xml:space="preserve"> requer a existência de vários municípios, de tal forma que os indivíduos possam escolher viver em lugares onde vivem pessoas com preferências por bens públicos semelhantes às suas. Sendo assim, a existência de vários municípios pequenos é </w:t>
      </w:r>
      <w:r w:rsidR="004B7524">
        <w:rPr>
          <w:rFonts w:ascii="Times New Roman" w:hAnsi="Times New Roman" w:cs="Times New Roman"/>
        </w:rPr>
        <w:t>certamente</w:t>
      </w:r>
      <w:r w:rsidRPr="00E46520">
        <w:rPr>
          <w:rFonts w:ascii="Times New Roman" w:hAnsi="Times New Roman" w:cs="Times New Roman"/>
        </w:rPr>
        <w:t xml:space="preserve"> um aspecto positivo dos sistemas federativos.</w:t>
      </w:r>
    </w:p>
    <w:p w14:paraId="1CE2FBEA" w14:textId="4AE70E75" w:rsidR="004B7524" w:rsidRDefault="004B7524" w:rsidP="004B7524">
      <w:pPr>
        <w:pStyle w:val="PargrafodaLista"/>
        <w:jc w:val="both"/>
        <w:rPr>
          <w:rFonts w:ascii="Times New Roman" w:hAnsi="Times New Roman" w:cs="Times New Roman"/>
        </w:rPr>
      </w:pPr>
    </w:p>
    <w:p w14:paraId="49A5B2A1" w14:textId="6468387C" w:rsidR="004B7524" w:rsidRPr="00783753" w:rsidRDefault="004B7524" w:rsidP="00783753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r w:rsidRPr="004B7524">
        <w:rPr>
          <w:rFonts w:ascii="Times New Roman" w:hAnsi="Times New Roman" w:cs="Times New Roman"/>
          <w:b/>
          <w:bCs/>
        </w:rPr>
        <w:t xml:space="preserve">Falso. Existe um trade-off. Similaridade das preferências x escala </w:t>
      </w:r>
    </w:p>
    <w:p w14:paraId="1956AFCD" w14:textId="77777777" w:rsidR="004B7524" w:rsidRPr="004B7524" w:rsidRDefault="004B7524" w:rsidP="004B7524">
      <w:pPr>
        <w:ind w:left="708"/>
        <w:jc w:val="both"/>
        <w:rPr>
          <w:rFonts w:ascii="Times New Roman" w:hAnsi="Times New Roman" w:cs="Times New Roman"/>
          <w:b/>
          <w:bCs/>
        </w:rPr>
      </w:pPr>
    </w:p>
    <w:p w14:paraId="0E81598B" w14:textId="454D7BE0" w:rsidR="00D45AE9" w:rsidRDefault="00D45AE9" w:rsidP="00D45AE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$ 20 milhões são gastos para reduzir partículas transportadas pelo ar. Estima-se que isso salve 2 pessoas da morte e 1.000 de ficarem doentes durante períodos em que os ventos são bem fracos. Uma vez que a velocidade aumenta</w:t>
      </w:r>
      <w:r w:rsidR="00AD04E9">
        <w:rPr>
          <w:rFonts w:ascii="Times New Roman" w:hAnsi="Times New Roman" w:cs="Times New Roman"/>
        </w:rPr>
        <w:t>,</w:t>
      </w:r>
      <w:r w:rsidRPr="00E46520">
        <w:rPr>
          <w:rFonts w:ascii="Times New Roman" w:hAnsi="Times New Roman" w:cs="Times New Roman"/>
        </w:rPr>
        <w:t xml:space="preserve"> as partículas se dispersam com efeitos não duradouros. Aqueles afetados são principalmente aqueles com problemas respiratórios pré-existentes e podem ter qualquer idade. Se o valor estatístico da vida é $3 milhões e o valor de evitar uma doença séria é $50.000 o programa acima tem um benefício líquido</w:t>
      </w:r>
      <w:r w:rsidR="005D2984">
        <w:rPr>
          <w:rFonts w:ascii="Times New Roman" w:hAnsi="Times New Roman" w:cs="Times New Roman"/>
        </w:rPr>
        <w:t xml:space="preserve"> de 35</w:t>
      </w:r>
      <w:r w:rsidRPr="00E46520">
        <w:rPr>
          <w:rFonts w:ascii="Times New Roman" w:hAnsi="Times New Roman" w:cs="Times New Roman"/>
        </w:rPr>
        <w:t xml:space="preserve"> milhões de dólares</w:t>
      </w:r>
      <w:r w:rsidR="005D2984">
        <w:rPr>
          <w:rFonts w:ascii="Times New Roman" w:hAnsi="Times New Roman" w:cs="Times New Roman"/>
        </w:rPr>
        <w:t>.</w:t>
      </w:r>
    </w:p>
    <w:p w14:paraId="673EE812" w14:textId="7359DB58" w:rsidR="00D14834" w:rsidRDefault="00D14834" w:rsidP="00D14834">
      <w:pPr>
        <w:pStyle w:val="PargrafodaLista"/>
        <w:jc w:val="both"/>
        <w:rPr>
          <w:rFonts w:ascii="Times New Roman" w:hAnsi="Times New Roman" w:cs="Times New Roman"/>
        </w:rPr>
      </w:pPr>
    </w:p>
    <w:p w14:paraId="5940B2E2" w14:textId="6406E07D" w:rsidR="00D14834" w:rsidRPr="00D14834" w:rsidRDefault="00D14834" w:rsidP="00D14834">
      <w:pPr>
        <w:pStyle w:val="PargrafodaLista"/>
        <w:jc w:val="both"/>
        <w:rPr>
          <w:rFonts w:ascii="Times New Roman" w:hAnsi="Times New Roman" w:cs="Times New Roman"/>
          <w:b/>
          <w:bCs/>
        </w:rPr>
      </w:pPr>
      <w:proofErr w:type="gramStart"/>
      <w:r w:rsidRPr="00D14834">
        <w:rPr>
          <w:rFonts w:ascii="Times New Roman" w:hAnsi="Times New Roman" w:cs="Times New Roman"/>
          <w:b/>
          <w:bCs/>
        </w:rPr>
        <w:t>Falso .</w:t>
      </w:r>
      <w:proofErr w:type="gramEnd"/>
      <w:r w:rsidRPr="00D14834">
        <w:rPr>
          <w:rFonts w:ascii="Times New Roman" w:hAnsi="Times New Roman" w:cs="Times New Roman"/>
          <w:b/>
          <w:bCs/>
        </w:rPr>
        <w:t xml:space="preserve"> -20 + 2*3 +1000*0,05 = -20 + 6 + 50 = 36</w:t>
      </w:r>
    </w:p>
    <w:p w14:paraId="614F3F9F" w14:textId="2DE456F2" w:rsidR="004B7524" w:rsidRPr="004B7524" w:rsidRDefault="004B7524" w:rsidP="00AD04E9">
      <w:pPr>
        <w:ind w:left="360"/>
        <w:jc w:val="both"/>
        <w:rPr>
          <w:rFonts w:ascii="Times New Roman" w:hAnsi="Times New Roman" w:cs="Times New Roman"/>
        </w:rPr>
      </w:pPr>
    </w:p>
    <w:p w14:paraId="4E60CB56" w14:textId="3CABFB66" w:rsidR="00E46520" w:rsidRDefault="00E46520" w:rsidP="00E4652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Transferências com contrapartida equivalem a um subsídio. Como tal, são o tipo de transferência com maior efeito sobre o gasto público. Isto porque o subsídio dá ao governo que recebe que a transferência mais recursos (efeito</w:t>
      </w:r>
      <w:r w:rsidR="00D14834">
        <w:rPr>
          <w:rFonts w:ascii="Times New Roman" w:hAnsi="Times New Roman" w:cs="Times New Roman"/>
        </w:rPr>
        <w:t xml:space="preserve"> substituição</w:t>
      </w:r>
      <w:r w:rsidRPr="00E46520">
        <w:rPr>
          <w:rFonts w:ascii="Times New Roman" w:hAnsi="Times New Roman" w:cs="Times New Roman"/>
        </w:rPr>
        <w:t xml:space="preserve">) e reduz o preço relativo do bem público (efeito </w:t>
      </w:r>
      <w:r w:rsidR="00D14834">
        <w:rPr>
          <w:rFonts w:ascii="Times New Roman" w:hAnsi="Times New Roman" w:cs="Times New Roman"/>
        </w:rPr>
        <w:t>renda</w:t>
      </w:r>
      <w:r w:rsidRPr="00E46520">
        <w:rPr>
          <w:rFonts w:ascii="Times New Roman" w:hAnsi="Times New Roman" w:cs="Times New Roman"/>
        </w:rPr>
        <w:t>).</w:t>
      </w:r>
    </w:p>
    <w:p w14:paraId="30D41CBE" w14:textId="545F76C5" w:rsidR="00D14834" w:rsidRDefault="00D14834" w:rsidP="00D1483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D5C43EC" w14:textId="4ACBC715" w:rsidR="00D14834" w:rsidRPr="00D14834" w:rsidRDefault="00D14834" w:rsidP="00D1483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4834">
        <w:rPr>
          <w:rFonts w:ascii="Times New Roman" w:hAnsi="Times New Roman" w:cs="Times New Roman"/>
          <w:b/>
          <w:bCs/>
        </w:rPr>
        <w:t>Falso. Efeito renda e efeito substituição.</w:t>
      </w:r>
    </w:p>
    <w:p w14:paraId="628A68E3" w14:textId="72E6AB65" w:rsidR="00D14834" w:rsidRDefault="00D14834" w:rsidP="00D1483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164A4737" w14:textId="77777777" w:rsidR="00D14834" w:rsidRPr="00E46520" w:rsidRDefault="00D14834" w:rsidP="00D1483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A3DA3CB" w14:textId="06A15CC1" w:rsidR="00D45AE9" w:rsidRDefault="00D45AE9" w:rsidP="00D45A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520">
        <w:rPr>
          <w:rFonts w:ascii="Times New Roman" w:hAnsi="Times New Roman" w:cs="Times New Roman"/>
        </w:rPr>
        <w:t>O fato de os investimentos do governo federal terem sido fortemente cortados nos últimos anos é um dos fatores que contribui para o PPA ficar desacreditado.</w:t>
      </w:r>
    </w:p>
    <w:p w14:paraId="77700FB5" w14:textId="795F74B4" w:rsidR="00D14834" w:rsidRDefault="00D14834" w:rsidP="00D148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D1D08" w14:textId="5E1B3CE3" w:rsidR="00D14834" w:rsidRPr="00D14834" w:rsidRDefault="00D14834" w:rsidP="00D148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D14834">
        <w:rPr>
          <w:rFonts w:ascii="Times New Roman" w:hAnsi="Times New Roman" w:cs="Times New Roman"/>
          <w:b/>
          <w:bCs/>
        </w:rPr>
        <w:t xml:space="preserve">Verdadeiro. </w:t>
      </w:r>
    </w:p>
    <w:p w14:paraId="1CFEE337" w14:textId="77777777" w:rsidR="00D14834" w:rsidRPr="00D14834" w:rsidRDefault="00D14834" w:rsidP="00D148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A2511" w14:textId="50E31023" w:rsidR="00D45AE9" w:rsidRDefault="00D14834" w:rsidP="00D45A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cobrança</w:t>
      </w:r>
      <w:r w:rsidR="00E46520" w:rsidRPr="00E46520">
        <w:rPr>
          <w:rFonts w:ascii="Times New Roman" w:hAnsi="Times New Roman" w:cs="Times New Roman"/>
        </w:rPr>
        <w:t xml:space="preserve"> parcial </w:t>
      </w:r>
      <w:r>
        <w:rPr>
          <w:rFonts w:ascii="Times New Roman" w:hAnsi="Times New Roman" w:cs="Times New Roman"/>
        </w:rPr>
        <w:t>d</w:t>
      </w:r>
      <w:r w:rsidR="00E46520" w:rsidRPr="00E465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ICMS no</w:t>
      </w:r>
      <w:r w:rsidR="00E46520" w:rsidRPr="00E46520">
        <w:rPr>
          <w:rFonts w:ascii="Times New Roman" w:hAnsi="Times New Roman" w:cs="Times New Roman"/>
        </w:rPr>
        <w:t xml:space="preserve"> destino e questões endógenas ao critério de distribuição do FPM</w:t>
      </w:r>
      <w:r>
        <w:rPr>
          <w:rFonts w:ascii="Times New Roman" w:hAnsi="Times New Roman" w:cs="Times New Roman"/>
        </w:rPr>
        <w:t xml:space="preserve"> são explicações possíveis para </w:t>
      </w:r>
      <w:r w:rsidR="00E46520" w:rsidRPr="00E46520">
        <w:rPr>
          <w:rFonts w:ascii="Times New Roman" w:hAnsi="Times New Roman" w:cs="Times New Roman"/>
        </w:rPr>
        <w:t xml:space="preserve">esses dois tipos de transferências </w:t>
      </w:r>
      <w:r>
        <w:rPr>
          <w:rFonts w:ascii="Times New Roman" w:hAnsi="Times New Roman" w:cs="Times New Roman"/>
        </w:rPr>
        <w:t>terem estimulado</w:t>
      </w:r>
      <w:r w:rsidR="00E46520" w:rsidRPr="00E46520">
        <w:rPr>
          <w:rFonts w:ascii="Times New Roman" w:hAnsi="Times New Roman" w:cs="Times New Roman"/>
        </w:rPr>
        <w:t xml:space="preserve"> a multiplicação dos municípios.</w:t>
      </w:r>
    </w:p>
    <w:p w14:paraId="62E1D9A3" w14:textId="0D671DB5" w:rsidR="00D14834" w:rsidRDefault="00D14834" w:rsidP="00D1483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5D034776" w14:textId="2767BF07" w:rsidR="00D45AE9" w:rsidRPr="00622866" w:rsidRDefault="00D14834" w:rsidP="0062286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4834">
        <w:rPr>
          <w:rFonts w:ascii="Times New Roman" w:hAnsi="Times New Roman" w:cs="Times New Roman"/>
          <w:b/>
          <w:bCs/>
        </w:rPr>
        <w:t>Falso. Pelo fato de o ICMS ser cobrado parcialmente na origem...</w:t>
      </w:r>
    </w:p>
    <w:sectPr w:rsidR="00D45AE9" w:rsidRPr="00622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E2C"/>
    <w:multiLevelType w:val="hybridMultilevel"/>
    <w:tmpl w:val="D242C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FC2"/>
    <w:multiLevelType w:val="hybridMultilevel"/>
    <w:tmpl w:val="3ECA5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D13"/>
    <w:multiLevelType w:val="hybridMultilevel"/>
    <w:tmpl w:val="324ACB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3AF"/>
    <w:multiLevelType w:val="hybridMultilevel"/>
    <w:tmpl w:val="8FBA7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086"/>
    <w:multiLevelType w:val="hybridMultilevel"/>
    <w:tmpl w:val="F462F63E"/>
    <w:lvl w:ilvl="0" w:tplc="72521C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E5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A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CE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80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F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CE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6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D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725"/>
    <w:multiLevelType w:val="hybridMultilevel"/>
    <w:tmpl w:val="35C6522C"/>
    <w:lvl w:ilvl="0" w:tplc="17F6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A55C5"/>
    <w:multiLevelType w:val="hybridMultilevel"/>
    <w:tmpl w:val="469AFF86"/>
    <w:lvl w:ilvl="0" w:tplc="B724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17FFB"/>
    <w:multiLevelType w:val="hybridMultilevel"/>
    <w:tmpl w:val="432A0E44"/>
    <w:lvl w:ilvl="0" w:tplc="2D406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14E8D"/>
    <w:multiLevelType w:val="hybridMultilevel"/>
    <w:tmpl w:val="ACBC46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2899"/>
    <w:multiLevelType w:val="hybridMultilevel"/>
    <w:tmpl w:val="E2AEC724"/>
    <w:lvl w:ilvl="0" w:tplc="84C85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541C"/>
    <w:multiLevelType w:val="hybridMultilevel"/>
    <w:tmpl w:val="3656E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E3"/>
    <w:rsid w:val="00003A27"/>
    <w:rsid w:val="000353F2"/>
    <w:rsid w:val="000B43E3"/>
    <w:rsid w:val="000C2F57"/>
    <w:rsid w:val="000E5A94"/>
    <w:rsid w:val="001739FA"/>
    <w:rsid w:val="00177E5C"/>
    <w:rsid w:val="001E7345"/>
    <w:rsid w:val="001F7A4E"/>
    <w:rsid w:val="00202F38"/>
    <w:rsid w:val="0020352D"/>
    <w:rsid w:val="00217D53"/>
    <w:rsid w:val="00276F22"/>
    <w:rsid w:val="002932B4"/>
    <w:rsid w:val="00297C3B"/>
    <w:rsid w:val="002F544E"/>
    <w:rsid w:val="00367C90"/>
    <w:rsid w:val="00387525"/>
    <w:rsid w:val="00487FC6"/>
    <w:rsid w:val="004A06DD"/>
    <w:rsid w:val="004B1414"/>
    <w:rsid w:val="004B7524"/>
    <w:rsid w:val="004C610C"/>
    <w:rsid w:val="0052383F"/>
    <w:rsid w:val="005909B7"/>
    <w:rsid w:val="005A334B"/>
    <w:rsid w:val="005B54B6"/>
    <w:rsid w:val="005D2984"/>
    <w:rsid w:val="00622866"/>
    <w:rsid w:val="00630459"/>
    <w:rsid w:val="0066464E"/>
    <w:rsid w:val="00672885"/>
    <w:rsid w:val="006A0E02"/>
    <w:rsid w:val="006A6E19"/>
    <w:rsid w:val="006D5FBC"/>
    <w:rsid w:val="006F524C"/>
    <w:rsid w:val="00717706"/>
    <w:rsid w:val="00722ACE"/>
    <w:rsid w:val="00783753"/>
    <w:rsid w:val="0078698C"/>
    <w:rsid w:val="007B2C7C"/>
    <w:rsid w:val="007F6FC3"/>
    <w:rsid w:val="008071C1"/>
    <w:rsid w:val="00810D69"/>
    <w:rsid w:val="00817F10"/>
    <w:rsid w:val="008329AF"/>
    <w:rsid w:val="008B0395"/>
    <w:rsid w:val="0090487D"/>
    <w:rsid w:val="0091549F"/>
    <w:rsid w:val="009469E5"/>
    <w:rsid w:val="009C0848"/>
    <w:rsid w:val="009C65BD"/>
    <w:rsid w:val="009E3D32"/>
    <w:rsid w:val="00A04262"/>
    <w:rsid w:val="00A144A0"/>
    <w:rsid w:val="00A3253D"/>
    <w:rsid w:val="00A853B5"/>
    <w:rsid w:val="00AC54A4"/>
    <w:rsid w:val="00AD04E9"/>
    <w:rsid w:val="00B47979"/>
    <w:rsid w:val="00B548C8"/>
    <w:rsid w:val="00B77BF0"/>
    <w:rsid w:val="00C00546"/>
    <w:rsid w:val="00D01F4C"/>
    <w:rsid w:val="00D05369"/>
    <w:rsid w:val="00D14834"/>
    <w:rsid w:val="00D230B1"/>
    <w:rsid w:val="00D45AE9"/>
    <w:rsid w:val="00D514DE"/>
    <w:rsid w:val="00D6024E"/>
    <w:rsid w:val="00D87BC0"/>
    <w:rsid w:val="00D97F37"/>
    <w:rsid w:val="00E30520"/>
    <w:rsid w:val="00E46520"/>
    <w:rsid w:val="00E55040"/>
    <w:rsid w:val="00E96823"/>
    <w:rsid w:val="00EC202C"/>
    <w:rsid w:val="00ED10ED"/>
    <w:rsid w:val="00EE29CE"/>
    <w:rsid w:val="00EF571E"/>
    <w:rsid w:val="00F0357B"/>
    <w:rsid w:val="00F131A4"/>
    <w:rsid w:val="00F27C2E"/>
    <w:rsid w:val="00F97925"/>
    <w:rsid w:val="00FE209C"/>
    <w:rsid w:val="00FE6059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FBE96"/>
  <w15:chartTrackingRefBased/>
  <w15:docId w15:val="{38A5398F-5663-4B01-ADC9-06EFB99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3E3"/>
    <w:pPr>
      <w:ind w:left="720"/>
      <w:contextualSpacing/>
    </w:pPr>
  </w:style>
  <w:style w:type="table" w:styleId="Tabelacomgrade">
    <w:name w:val="Table Grid"/>
    <w:basedOn w:val="Tabelanormal"/>
    <w:uiPriority w:val="59"/>
    <w:rsid w:val="004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202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F035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Picchetti</dc:creator>
  <cp:keywords/>
  <dc:description/>
  <cp:lastModifiedBy>Paulo Picchetti</cp:lastModifiedBy>
  <cp:revision>2</cp:revision>
  <dcterms:created xsi:type="dcterms:W3CDTF">2021-07-28T18:47:00Z</dcterms:created>
  <dcterms:modified xsi:type="dcterms:W3CDTF">2021-07-28T18:47:00Z</dcterms:modified>
</cp:coreProperties>
</file>