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20D1" w14:textId="77777777" w:rsidR="009636F4" w:rsidRDefault="009636F4" w:rsidP="009636F4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387FD8CE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1BAD1960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5AB336BD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2847D9B6" w14:textId="77777777" w:rsidR="009636F4" w:rsidRPr="008B2C7A" w:rsidRDefault="009636F4" w:rsidP="009636F4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7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6777E7EB" w14:textId="77777777" w:rsidR="009636F4" w:rsidRPr="004A2CD6" w:rsidRDefault="009636F4" w:rsidP="009636F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7E09032D" w14:textId="77777777" w:rsidR="009636F4" w:rsidRPr="00944206" w:rsidRDefault="009636F4" w:rsidP="009636F4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História da classe média brasileira</w:t>
      </w:r>
      <w:bookmarkEnd w:id="0"/>
    </w:p>
    <w:p w14:paraId="3ACBC943" w14:textId="77777777" w:rsidR="009636F4" w:rsidRPr="00E2498C" w:rsidRDefault="009636F4" w:rsidP="009636F4">
      <w:pPr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70B5461B" w14:textId="77777777" w:rsidR="00D90C09" w:rsidRDefault="00D90C09" w:rsidP="00D90C09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  <w:r w:rsidRPr="00E2498C">
        <w:rPr>
          <w:rFonts w:ascii="Cambria Math" w:hAnsi="Cambria Math"/>
          <w:b/>
          <w:sz w:val="21"/>
          <w:szCs w:val="21"/>
          <w:u w:val="single"/>
        </w:rPr>
        <w:t>Unidade III – Padrões de atuação da classe média no Brasil Republicano</w:t>
      </w:r>
    </w:p>
    <w:p w14:paraId="754F7DE7" w14:textId="77777777" w:rsidR="00D90C09" w:rsidRPr="00E2498C" w:rsidRDefault="00D90C09" w:rsidP="00D90C09">
      <w:pPr>
        <w:ind w:left="360"/>
        <w:jc w:val="both"/>
        <w:rPr>
          <w:rFonts w:ascii="Cambria Math" w:hAnsi="Cambria Math"/>
          <w:b/>
          <w:sz w:val="21"/>
          <w:szCs w:val="21"/>
          <w:u w:val="single"/>
        </w:rPr>
      </w:pPr>
    </w:p>
    <w:p w14:paraId="059E101E" w14:textId="77777777" w:rsidR="00D90C09" w:rsidRDefault="00D90C09" w:rsidP="00D90C0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1"/>
          <w:szCs w:val="21"/>
        </w:rPr>
      </w:pPr>
      <w:r w:rsidRPr="00E2498C">
        <w:rPr>
          <w:rFonts w:ascii="Cambria Math" w:hAnsi="Cambria Math"/>
          <w:b/>
          <w:sz w:val="21"/>
          <w:szCs w:val="21"/>
        </w:rPr>
        <w:t>A classe média à época da cafeicultura oligárquica (1889-1920)</w:t>
      </w:r>
    </w:p>
    <w:p w14:paraId="1BDCF27E" w14:textId="77777777" w:rsidR="00D90C09" w:rsidRPr="00F57CF4" w:rsidRDefault="00D90C09" w:rsidP="00D90C09">
      <w:pPr>
        <w:pStyle w:val="PargrafodaLista"/>
        <w:numPr>
          <w:ilvl w:val="1"/>
          <w:numId w:val="1"/>
        </w:numPr>
        <w:jc w:val="both"/>
        <w:rPr>
          <w:rFonts w:ascii="Cambria Math" w:hAnsi="Cambria Math"/>
          <w:sz w:val="21"/>
          <w:szCs w:val="21"/>
        </w:rPr>
      </w:pPr>
      <w:r w:rsidRPr="005018F4">
        <w:rPr>
          <w:rFonts w:ascii="Cambria Math" w:hAnsi="Cambria Math"/>
          <w:sz w:val="21"/>
          <w:szCs w:val="21"/>
        </w:rPr>
        <w:t>Leitura</w:t>
      </w:r>
      <w:r>
        <w:rPr>
          <w:rFonts w:ascii="Cambria Math" w:hAnsi="Cambria Math"/>
          <w:sz w:val="21"/>
          <w:szCs w:val="21"/>
        </w:rPr>
        <w:t>s</w:t>
      </w:r>
      <w:r w:rsidRPr="005018F4">
        <w:rPr>
          <w:rFonts w:ascii="Cambria Math" w:hAnsi="Cambria Math"/>
          <w:sz w:val="21"/>
          <w:szCs w:val="21"/>
        </w:rPr>
        <w:t xml:space="preserve"> obrigatória</w:t>
      </w:r>
      <w:r>
        <w:rPr>
          <w:rFonts w:ascii="Cambria Math" w:hAnsi="Cambria Math"/>
          <w:sz w:val="21"/>
          <w:szCs w:val="21"/>
        </w:rPr>
        <w:t>s</w:t>
      </w:r>
      <w:r w:rsidRPr="005018F4">
        <w:rPr>
          <w:rFonts w:ascii="Cambria Math" w:hAnsi="Cambria Math"/>
          <w:sz w:val="21"/>
          <w:szCs w:val="21"/>
        </w:rPr>
        <w:t xml:space="preserve">: </w:t>
      </w:r>
      <w:r w:rsidRPr="00D2665A">
        <w:rPr>
          <w:rFonts w:ascii="Cambria Math" w:hAnsi="Cambria Math"/>
          <w:sz w:val="21"/>
          <w:szCs w:val="21"/>
          <w:u w:val="single"/>
        </w:rPr>
        <w:t>CARONE, Edgar. A República Velha. Instituições e classes sociais</w:t>
      </w:r>
      <w:r>
        <w:rPr>
          <w:rFonts w:ascii="Cambria Math" w:hAnsi="Cambria Math"/>
          <w:sz w:val="21"/>
          <w:szCs w:val="21"/>
        </w:rPr>
        <w:t xml:space="preserve">. São Paulo: Difusão Europeia do Livro, 1970. </w:t>
      </w:r>
      <w:r w:rsidRPr="000B25B6">
        <w:rPr>
          <w:rFonts w:ascii="Cambria Math" w:hAnsi="Cambria Math"/>
          <w:sz w:val="21"/>
          <w:szCs w:val="21"/>
          <w:lang w:val="en-US"/>
        </w:rPr>
        <w:t xml:space="preserve">Parte II: </w:t>
      </w:r>
      <w:r w:rsidRPr="000B25B6">
        <w:rPr>
          <w:rFonts w:ascii="Cambria Math" w:hAnsi="Cambria Math"/>
          <w:sz w:val="21"/>
          <w:szCs w:val="21"/>
          <w:u w:val="single"/>
          <w:lang w:val="en-US"/>
        </w:rPr>
        <w:t xml:space="preserve">Classes Sociais; OWESNBY, Brian P. Intimate ironies. </w:t>
      </w:r>
      <w:r w:rsidRPr="00F57CF4">
        <w:rPr>
          <w:rFonts w:ascii="Cambria Math" w:hAnsi="Cambria Math"/>
          <w:sz w:val="21"/>
          <w:szCs w:val="21"/>
          <w:u w:val="single"/>
          <w:lang w:val="en-US"/>
        </w:rPr>
        <w:t>Modernity and the Making of Middle-Class Lives in Brazil</w:t>
      </w:r>
      <w:r w:rsidRPr="00F57CF4">
        <w:rPr>
          <w:rFonts w:ascii="Cambria Math" w:hAnsi="Cambria Math"/>
          <w:sz w:val="21"/>
          <w:szCs w:val="21"/>
          <w:lang w:val="en-US"/>
        </w:rPr>
        <w:t>. Stanford, California: Stanford University Press, 1999.</w:t>
      </w:r>
    </w:p>
    <w:p w14:paraId="14DB0F20" w14:textId="77777777" w:rsidR="009636F4" w:rsidRPr="003639EB" w:rsidRDefault="009636F4" w:rsidP="009636F4">
      <w:pPr>
        <w:jc w:val="both"/>
        <w:rPr>
          <w:rFonts w:ascii="Calibri" w:hAnsi="Calibri" w:cs="Calibri"/>
          <w:bCs/>
          <w:sz w:val="20"/>
          <w:szCs w:val="20"/>
        </w:rPr>
      </w:pPr>
    </w:p>
    <w:p w14:paraId="741A9459" w14:textId="450722E0" w:rsidR="005E5226" w:rsidRDefault="005E5226" w:rsidP="00D90C09">
      <w:pPr>
        <w:tabs>
          <w:tab w:val="left" w:pos="5739"/>
        </w:tabs>
      </w:pPr>
    </w:p>
    <w:p w14:paraId="2343503E" w14:textId="30590F5F" w:rsidR="005E5226" w:rsidRDefault="005E5226" w:rsidP="005E5226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I] </w:t>
      </w:r>
      <w:r>
        <w:rPr>
          <w:rFonts w:ascii="Calibri" w:hAnsi="Calibri" w:cs="Calibri"/>
          <w:b/>
          <w:sz w:val="20"/>
          <w:szCs w:val="20"/>
          <w:u w:val="single"/>
        </w:rPr>
        <w:t>A crise do Império</w:t>
      </w:r>
    </w:p>
    <w:p w14:paraId="0CA9810D" w14:textId="5DC88D03" w:rsidR="00135F86" w:rsidRDefault="00135F86" w:rsidP="005E5226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51356698" w14:textId="77777777" w:rsidR="00135F86" w:rsidRPr="00FB7AAD" w:rsidRDefault="00135F86" w:rsidP="00135F86">
      <w:pPr>
        <w:numPr>
          <w:ilvl w:val="0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Nova alternância no poder entre conservadores e liberais:</w:t>
      </w:r>
    </w:p>
    <w:p w14:paraId="08ADAE2A" w14:textId="77777777" w:rsidR="00135F86" w:rsidRPr="00FB7AAD" w:rsidRDefault="00135F86" w:rsidP="00135F86">
      <w:pPr>
        <w:numPr>
          <w:ilvl w:val="1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1878-1885: liberais.</w:t>
      </w:r>
    </w:p>
    <w:p w14:paraId="09FF25AD" w14:textId="77777777" w:rsidR="00135F86" w:rsidRPr="00FB7AAD" w:rsidRDefault="00135F86" w:rsidP="00135F86">
      <w:pPr>
        <w:numPr>
          <w:ilvl w:val="1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1885-1889: conservadores.</w:t>
      </w:r>
    </w:p>
    <w:p w14:paraId="1C551BF7" w14:textId="77777777" w:rsidR="00135F86" w:rsidRPr="00FB7AAD" w:rsidRDefault="00135F86" w:rsidP="00135F86">
      <w:pPr>
        <w:numPr>
          <w:ilvl w:val="1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1889: liberais.</w:t>
      </w:r>
    </w:p>
    <w:p w14:paraId="081E9C77" w14:textId="77777777" w:rsidR="00135F86" w:rsidRPr="00FB7AAD" w:rsidRDefault="00135F86" w:rsidP="00135F86">
      <w:pPr>
        <w:numPr>
          <w:ilvl w:val="0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Alternância, contudo, não era uma renovação partidária propriamente dita.</w:t>
      </w:r>
    </w:p>
    <w:p w14:paraId="19652A85" w14:textId="77777777" w:rsidR="00135F86" w:rsidRPr="00FB7AAD" w:rsidRDefault="00135F86" w:rsidP="00135F86">
      <w:pPr>
        <w:numPr>
          <w:ilvl w:val="1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Surgimento de “bando de ideias novas”, na expressão se Sílvio Romero.</w:t>
      </w:r>
    </w:p>
    <w:p w14:paraId="591CE703" w14:textId="77777777" w:rsidR="00135F86" w:rsidRPr="00FB7AAD" w:rsidRDefault="00135F86" w:rsidP="00135F86">
      <w:pPr>
        <w:numPr>
          <w:ilvl w:val="2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Eram novas filiações intelectuais e doutrinárias, difusas em suas representações e com personagens mais plásticos do que rígidos.</w:t>
      </w:r>
    </w:p>
    <w:p w14:paraId="1C8B2911" w14:textId="77777777" w:rsidR="00135F86" w:rsidRPr="00FB7AAD" w:rsidRDefault="00135F86" w:rsidP="00135F86">
      <w:pPr>
        <w:numPr>
          <w:ilvl w:val="0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Questões centrais:</w:t>
      </w:r>
    </w:p>
    <w:p w14:paraId="21B33D74" w14:textId="40A01DFA" w:rsidR="00135F86" w:rsidRDefault="00135F86" w:rsidP="00135F86">
      <w:pPr>
        <w:numPr>
          <w:ilvl w:val="1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FB7AAD">
        <w:rPr>
          <w:rFonts w:ascii="Calibri" w:hAnsi="Calibri" w:cs="Calibri"/>
          <w:sz w:val="20"/>
          <w:szCs w:val="20"/>
        </w:rPr>
        <w:t>Religiosa, servil, republicana e militar.</w:t>
      </w:r>
    </w:p>
    <w:p w14:paraId="419BD025" w14:textId="4B1FAAB9" w:rsidR="002D2CB4" w:rsidRDefault="002D2CB4" w:rsidP="00135F86">
      <w:pPr>
        <w:numPr>
          <w:ilvl w:val="2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declínio do Vale do Paraíba.</w:t>
      </w:r>
    </w:p>
    <w:p w14:paraId="67AE5C2A" w14:textId="1FAD0182" w:rsidR="002D2CB4" w:rsidRDefault="002D2CB4" w:rsidP="00135F86">
      <w:pPr>
        <w:numPr>
          <w:ilvl w:val="2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ascensão do Oeste Paulista.</w:t>
      </w:r>
    </w:p>
    <w:p w14:paraId="59AAE32D" w14:textId="2B3F974B" w:rsidR="00135F86" w:rsidRPr="00FB7AAD" w:rsidRDefault="00135F86" w:rsidP="00135F86">
      <w:pPr>
        <w:numPr>
          <w:ilvl w:val="2"/>
          <w:numId w:val="8"/>
        </w:numPr>
        <w:tabs>
          <w:tab w:val="left" w:pos="1733"/>
        </w:tabs>
        <w:spacing w:after="2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lugar da classe média. </w:t>
      </w:r>
    </w:p>
    <w:p w14:paraId="10A72ACC" w14:textId="782198E4" w:rsidR="005E5226" w:rsidRDefault="005E5226" w:rsidP="005E5226">
      <w:pPr>
        <w:tabs>
          <w:tab w:val="left" w:pos="3532"/>
        </w:tabs>
      </w:pPr>
    </w:p>
    <w:p w14:paraId="6060316D" w14:textId="1919C38A" w:rsidR="00111DB4" w:rsidRDefault="00111DB4" w:rsidP="00111DB4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C382B">
        <w:rPr>
          <w:rFonts w:ascii="Calibri" w:hAnsi="Calibri" w:cs="Calibri"/>
          <w:b/>
          <w:sz w:val="20"/>
          <w:szCs w:val="20"/>
          <w:u w:val="single"/>
        </w:rPr>
        <w:t>I</w:t>
      </w:r>
      <w:r>
        <w:rPr>
          <w:rFonts w:ascii="Calibri" w:hAnsi="Calibri" w:cs="Calibri"/>
          <w:b/>
          <w:sz w:val="20"/>
          <w:szCs w:val="20"/>
          <w:u w:val="single"/>
        </w:rPr>
        <w:t>I</w:t>
      </w:r>
      <w:r w:rsidRPr="004C382B">
        <w:rPr>
          <w:rFonts w:ascii="Calibri" w:hAnsi="Calibri" w:cs="Calibri"/>
          <w:b/>
          <w:sz w:val="20"/>
          <w:szCs w:val="20"/>
          <w:u w:val="single"/>
        </w:rPr>
        <w:t xml:space="preserve">] </w:t>
      </w:r>
      <w:r>
        <w:rPr>
          <w:rFonts w:ascii="Calibri" w:hAnsi="Calibri" w:cs="Calibri"/>
          <w:b/>
          <w:sz w:val="20"/>
          <w:szCs w:val="20"/>
          <w:u w:val="single"/>
        </w:rPr>
        <w:t>O alvorecer da República e a classe média</w:t>
      </w:r>
    </w:p>
    <w:p w14:paraId="7ABFAAC7" w14:textId="260782AB" w:rsidR="00111DB4" w:rsidRDefault="00111DB4" w:rsidP="00111DB4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0E26EDE9" w14:textId="6F47E43A" w:rsidR="00111DB4" w:rsidRPr="00C12038" w:rsidRDefault="00111DB4" w:rsidP="00111DB4">
      <w:pPr>
        <w:pStyle w:val="PargrafodaLista"/>
        <w:numPr>
          <w:ilvl w:val="0"/>
          <w:numId w:val="14"/>
        </w:numPr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12038">
        <w:rPr>
          <w:rFonts w:ascii="Calibri" w:hAnsi="Calibri" w:cs="Calibri"/>
          <w:b/>
          <w:bCs/>
          <w:sz w:val="20"/>
          <w:szCs w:val="20"/>
          <w:u w:val="single"/>
        </w:rPr>
        <w:t>Primeiras Eleições</w:t>
      </w:r>
    </w:p>
    <w:p w14:paraId="0681C642" w14:textId="77777777" w:rsidR="00111DB4" w:rsidRPr="007F2661" w:rsidRDefault="00111DB4" w:rsidP="00111DB4">
      <w:pPr>
        <w:pStyle w:val="PargrafodaLista"/>
        <w:jc w:val="both"/>
        <w:rPr>
          <w:rFonts w:ascii="Calibri" w:hAnsi="Calibri" w:cs="Calibri"/>
          <w:sz w:val="20"/>
          <w:szCs w:val="20"/>
          <w:u w:val="single"/>
        </w:rPr>
      </w:pPr>
    </w:p>
    <w:p w14:paraId="3B9F97CF" w14:textId="77777777" w:rsidR="00111DB4" w:rsidRPr="007F2661" w:rsidRDefault="00111DB4" w:rsidP="00111DB4">
      <w:pPr>
        <w:pStyle w:val="PargrafodaLista"/>
        <w:numPr>
          <w:ilvl w:val="0"/>
          <w:numId w:val="10"/>
        </w:numPr>
        <w:spacing w:after="200" w:line="276" w:lineRule="auto"/>
        <w:ind w:left="1440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Eleições de fevereiro de 1891, que deram a presidência a Deodoro e a vice-presidência a Floriano Peixoto, foram indiretas. </w:t>
      </w:r>
    </w:p>
    <w:p w14:paraId="748FC520" w14:textId="77777777" w:rsidR="00111DB4" w:rsidRPr="007F2661" w:rsidRDefault="00111DB4" w:rsidP="00111DB4">
      <w:pPr>
        <w:pStyle w:val="PargrafodaLista"/>
        <w:numPr>
          <w:ilvl w:val="1"/>
          <w:numId w:val="10"/>
        </w:numPr>
        <w:spacing w:after="200" w:line="276" w:lineRule="auto"/>
        <w:ind w:left="2160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As eleições para Vice-Presidente eram feitas separadamente do pleito eleitoral para Presidente. </w:t>
      </w:r>
    </w:p>
    <w:p w14:paraId="4A8A502A" w14:textId="77777777" w:rsidR="00111DB4" w:rsidRPr="007F2661" w:rsidRDefault="00111DB4" w:rsidP="00111DB4">
      <w:pPr>
        <w:pStyle w:val="PargrafodaLista"/>
        <w:numPr>
          <w:ilvl w:val="1"/>
          <w:numId w:val="10"/>
        </w:numPr>
        <w:spacing w:after="200" w:line="276" w:lineRule="auto"/>
        <w:ind w:left="2160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lastRenderedPageBreak/>
        <w:t>Floriano Peixoto, notadamente, candidatou-se e para Presidente e para Vice-Presidente.</w:t>
      </w:r>
    </w:p>
    <w:p w14:paraId="373238B2" w14:textId="77777777" w:rsidR="00111DB4" w:rsidRPr="007F2661" w:rsidRDefault="00111DB4" w:rsidP="00111DB4">
      <w:pPr>
        <w:pStyle w:val="PargrafodaLista"/>
        <w:numPr>
          <w:ilvl w:val="2"/>
          <w:numId w:val="10"/>
        </w:numPr>
        <w:spacing w:after="200" w:line="276" w:lineRule="auto"/>
        <w:ind w:left="2880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>Quem votaria numa eleição direta?</w:t>
      </w:r>
    </w:p>
    <w:p w14:paraId="1CB5CB8C" w14:textId="77777777" w:rsidR="00111DB4" w:rsidRPr="007F2661" w:rsidRDefault="00111DB4" w:rsidP="00111DB4">
      <w:pPr>
        <w:pStyle w:val="PargrafodaLista"/>
        <w:numPr>
          <w:ilvl w:val="2"/>
          <w:numId w:val="10"/>
        </w:numPr>
        <w:spacing w:after="200" w:line="276" w:lineRule="auto"/>
        <w:ind w:left="2880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Votavam os maiores de 21 anos, seja qual fosse sua renda. </w:t>
      </w:r>
    </w:p>
    <w:p w14:paraId="054E8D42" w14:textId="77777777" w:rsidR="00111DB4" w:rsidRPr="007F2661" w:rsidRDefault="00111DB4" w:rsidP="00111DB4">
      <w:pPr>
        <w:pStyle w:val="PargrafodaLista"/>
        <w:numPr>
          <w:ilvl w:val="2"/>
          <w:numId w:val="10"/>
        </w:numPr>
        <w:spacing w:after="200" w:line="276" w:lineRule="auto"/>
        <w:ind w:left="2880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Proibia-se expressamente o voto aos analfabetos, aos mendigos e aos militares de baixa patente (praças de pré); implicitamente, visto que não havia menção no texto, as mulheres foram excluídas do voto. </w:t>
      </w:r>
    </w:p>
    <w:p w14:paraId="318DD6D3" w14:textId="77777777" w:rsidR="00111DB4" w:rsidRPr="007F2661" w:rsidRDefault="00111DB4" w:rsidP="00111DB4">
      <w:pPr>
        <w:pStyle w:val="PargrafodaLista"/>
        <w:numPr>
          <w:ilvl w:val="2"/>
          <w:numId w:val="10"/>
        </w:numPr>
        <w:spacing w:after="200" w:line="276" w:lineRule="auto"/>
        <w:ind w:left="2880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>Mantinha-se, portanto, a lógica eleitoral da lei Saraiva, de 1881, na medida em que não votou mais de 5% da população em todo o período da Primeira República.</w:t>
      </w:r>
    </w:p>
    <w:p w14:paraId="297718D2" w14:textId="77777777" w:rsidR="00111DB4" w:rsidRPr="007F2661" w:rsidRDefault="00111DB4" w:rsidP="00111DB4">
      <w:pPr>
        <w:pStyle w:val="PargrafodaLista"/>
        <w:numPr>
          <w:ilvl w:val="2"/>
          <w:numId w:val="10"/>
        </w:numPr>
        <w:spacing w:after="200" w:line="276" w:lineRule="auto"/>
        <w:ind w:left="2880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Mais grave, a característica aberta, e não secreta do voto, dava margem às manipulações eleitorais que o Império conhecera preteritamente. </w:t>
      </w:r>
    </w:p>
    <w:p w14:paraId="590004A8" w14:textId="77777777" w:rsidR="00111DB4" w:rsidRPr="007F2661" w:rsidRDefault="00111DB4" w:rsidP="00111DB4">
      <w:pPr>
        <w:pStyle w:val="PargrafodaLista"/>
        <w:ind w:left="2880"/>
        <w:jc w:val="both"/>
        <w:rPr>
          <w:rFonts w:ascii="Calibri" w:hAnsi="Calibri" w:cs="Calibri"/>
          <w:sz w:val="20"/>
          <w:szCs w:val="20"/>
          <w:u w:val="single"/>
        </w:rPr>
      </w:pPr>
    </w:p>
    <w:p w14:paraId="70BF8F19" w14:textId="77777777" w:rsidR="00111DB4" w:rsidRPr="007F2661" w:rsidRDefault="00111DB4" w:rsidP="00111DB4">
      <w:pPr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>Quando eleito para a presidência da República, Deodoro decidiu renovar o ministério do governo provisório.</w:t>
      </w:r>
    </w:p>
    <w:p w14:paraId="7FE1ABC3" w14:textId="77777777" w:rsidR="00111DB4" w:rsidRPr="007F2661" w:rsidRDefault="00111DB4" w:rsidP="00111DB4">
      <w:pPr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Compôs um ministério que excluía os políticos não alinhados com as tentativas de fortalecer o poder Executivo. </w:t>
      </w:r>
    </w:p>
    <w:p w14:paraId="0F875772" w14:textId="77777777" w:rsidR="00111DB4" w:rsidRPr="007F2661" w:rsidRDefault="00111DB4" w:rsidP="00111DB4">
      <w:pPr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Interveio também nos Estados, valendo-se do direito que lhe assegurava a carta constitucional de nomear funcionários públicos. </w:t>
      </w:r>
    </w:p>
    <w:p w14:paraId="563270C7" w14:textId="77777777" w:rsidR="00111DB4" w:rsidRPr="007F2661" w:rsidRDefault="00111DB4" w:rsidP="00111DB4">
      <w:pPr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Nada poderia parecer pior aos olhos dos republicanos paulistas, que vislumbravam em Deodoro o retorno da centralização monárquica. </w:t>
      </w:r>
    </w:p>
    <w:p w14:paraId="681D5D41" w14:textId="77777777" w:rsidR="00111DB4" w:rsidRPr="007F2661" w:rsidRDefault="00111DB4" w:rsidP="00111DB4">
      <w:pPr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>Deodoro pretendia eliminar a desigualdade de representação na Câmara de Deputados.</w:t>
      </w:r>
    </w:p>
    <w:p w14:paraId="498F7415" w14:textId="77777777" w:rsidR="00111DB4" w:rsidRPr="007F2661" w:rsidRDefault="00111DB4" w:rsidP="00111DB4">
      <w:pPr>
        <w:numPr>
          <w:ilvl w:val="2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Oposição no Congresso e cenário de crise econômica. </w:t>
      </w:r>
    </w:p>
    <w:p w14:paraId="1F6531EE" w14:textId="4FF3C715" w:rsidR="00111DB4" w:rsidRDefault="00111DB4" w:rsidP="00111DB4">
      <w:pPr>
        <w:numPr>
          <w:ilvl w:val="3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>Novembro de 1891, Congresso tenta aprovar a Lei de Responsabilidades, que reduzia significativamente os poderes do presidente.</w:t>
      </w:r>
    </w:p>
    <w:p w14:paraId="4C4C94C6" w14:textId="77777777" w:rsidR="00216963" w:rsidRPr="00CB698C" w:rsidRDefault="00216963" w:rsidP="00216963">
      <w:pPr>
        <w:pStyle w:val="NormalWeb"/>
        <w:numPr>
          <w:ilvl w:val="0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>O cenário econômico:</w:t>
      </w:r>
    </w:p>
    <w:p w14:paraId="67AF2720" w14:textId="77777777" w:rsidR="00216963" w:rsidRPr="00CB698C" w:rsidRDefault="00216963" w:rsidP="00216963">
      <w:pPr>
        <w:pStyle w:val="NormalWeb"/>
        <w:numPr>
          <w:ilvl w:val="1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O trabalho assalariado, acreditava-se, iria expandir a demanda e, consequentemente, a produção, o que significaria crescimento econômico, em última instância. </w:t>
      </w:r>
    </w:p>
    <w:p w14:paraId="65A2F9DC" w14:textId="77777777" w:rsidR="00216963" w:rsidRPr="00CB698C" w:rsidRDefault="00216963" w:rsidP="00216963">
      <w:pPr>
        <w:pStyle w:val="NormalWeb"/>
        <w:numPr>
          <w:ilvl w:val="2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Tornou-se claro para Rui Barbosa, </w:t>
      </w:r>
      <w:proofErr w:type="gramStart"/>
      <w:r w:rsidRPr="00CB698C">
        <w:rPr>
          <w:rFonts w:ascii="Calibri" w:hAnsi="Calibri"/>
          <w:sz w:val="20"/>
          <w:szCs w:val="20"/>
        </w:rPr>
        <w:t>primeiro ministro</w:t>
      </w:r>
      <w:proofErr w:type="gramEnd"/>
      <w:r w:rsidRPr="00CB698C">
        <w:rPr>
          <w:rFonts w:ascii="Calibri" w:hAnsi="Calibri"/>
          <w:sz w:val="20"/>
          <w:szCs w:val="20"/>
        </w:rPr>
        <w:t xml:space="preserve"> da Fazenda do período republicano, que haveria necessidade de renovação no que concerne à expansão da iniciativa privada e do investimento, fosse interno ou externo. </w:t>
      </w:r>
    </w:p>
    <w:p w14:paraId="5D54DA00" w14:textId="457CF3D5" w:rsidR="00216963" w:rsidRPr="00CB698C" w:rsidRDefault="00216963" w:rsidP="00216963">
      <w:pPr>
        <w:pStyle w:val="NormalWeb"/>
        <w:numPr>
          <w:ilvl w:val="2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O maior entrave, consoante Rui Barbosa, estaria na precariedade do sistema bancário, o que significava escassez do meio circulante. </w:t>
      </w:r>
    </w:p>
    <w:p w14:paraId="3E077704" w14:textId="77777777" w:rsidR="00216963" w:rsidRPr="00CB698C" w:rsidRDefault="00216963" w:rsidP="00216963">
      <w:pPr>
        <w:pStyle w:val="NormalWeb"/>
        <w:numPr>
          <w:ilvl w:val="3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Com a proclamação da República, e a consequente publicação da lei Bancária de 1890, Rui Barbosa punha termo ao debate entre papelistas e metalistas. </w:t>
      </w:r>
    </w:p>
    <w:p w14:paraId="6E795CC5" w14:textId="77777777" w:rsidR="00216963" w:rsidRPr="00CB698C" w:rsidRDefault="00216963" w:rsidP="00216963">
      <w:pPr>
        <w:pStyle w:val="NormalWeb"/>
        <w:numPr>
          <w:ilvl w:val="4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Sairiam aqueles na frente em detrimento destes. </w:t>
      </w:r>
    </w:p>
    <w:p w14:paraId="3F14F7D7" w14:textId="77777777" w:rsidR="00216963" w:rsidRPr="00CB698C" w:rsidRDefault="00216963" w:rsidP="00216963">
      <w:pPr>
        <w:pStyle w:val="NormalWeb"/>
        <w:numPr>
          <w:ilvl w:val="4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Pela lei, terceirizou-se a emissão do meio circulante. </w:t>
      </w:r>
    </w:p>
    <w:p w14:paraId="7509DB8B" w14:textId="77777777" w:rsidR="00216963" w:rsidRPr="00CB698C" w:rsidRDefault="00216963" w:rsidP="00216963">
      <w:pPr>
        <w:pStyle w:val="NormalWeb"/>
        <w:numPr>
          <w:ilvl w:val="5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Os bancos de emissão criados por Rui Barbosa poderiam expandir a oferta de crédito de agora em diante. </w:t>
      </w:r>
    </w:p>
    <w:p w14:paraId="08142CB8" w14:textId="77777777" w:rsidR="00216963" w:rsidRPr="00CB698C" w:rsidRDefault="00216963" w:rsidP="00216963">
      <w:pPr>
        <w:pStyle w:val="NormalWeb"/>
        <w:numPr>
          <w:ilvl w:val="5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Melhor, essas novas emissões não necessitariam ter lastro em ouro, mas em títulos da dívida pública. </w:t>
      </w:r>
    </w:p>
    <w:p w14:paraId="600CA82E" w14:textId="77777777" w:rsidR="00216963" w:rsidRPr="00CB698C" w:rsidRDefault="00216963" w:rsidP="00216963">
      <w:pPr>
        <w:pStyle w:val="NormalWeb"/>
        <w:numPr>
          <w:ilvl w:val="5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lastRenderedPageBreak/>
        <w:t xml:space="preserve">Estimava-se que a decorrente inflação, oriunda da expansão da demanda, seria comprimida por um aumento na oferta de bens, trazendo assim novo equilíbrio monetário. </w:t>
      </w:r>
    </w:p>
    <w:p w14:paraId="3A8E1E16" w14:textId="19D3BE17" w:rsidR="00216963" w:rsidRPr="00CB698C" w:rsidRDefault="00216963" w:rsidP="00216963">
      <w:pPr>
        <w:pStyle w:val="NormalWeb"/>
        <w:numPr>
          <w:ilvl w:val="5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>Além de monetizar os ex-escravos e os novos imigrantes, a lei contribuiria para os esforços de industrialização do país,</w:t>
      </w:r>
      <w:r w:rsidRPr="00CB698C">
        <w:rPr>
          <w:rFonts w:ascii="Calibri" w:hAnsi="Calibri"/>
          <w:sz w:val="20"/>
          <w:szCs w:val="20"/>
        </w:rPr>
        <w:t xml:space="preserve"> um interesse especial da classe média,</w:t>
      </w:r>
      <w:r w:rsidRPr="00CB698C">
        <w:rPr>
          <w:rFonts w:ascii="Calibri" w:hAnsi="Calibri"/>
          <w:sz w:val="20"/>
          <w:szCs w:val="20"/>
        </w:rPr>
        <w:t xml:space="preserve"> visto que a facilidade do crédito teria como contrapartida a expansão dos investimentos. </w:t>
      </w:r>
    </w:p>
    <w:p w14:paraId="31EB2864" w14:textId="77777777" w:rsidR="00A4514A" w:rsidRPr="00CB698C" w:rsidRDefault="00A4514A" w:rsidP="00A4514A">
      <w:pPr>
        <w:pStyle w:val="NormalWeb"/>
        <w:numPr>
          <w:ilvl w:val="1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A nova lei pareceu resultar no que fora esperado a princípio. </w:t>
      </w:r>
    </w:p>
    <w:p w14:paraId="39F961FF" w14:textId="77777777" w:rsidR="00A4514A" w:rsidRPr="00CB698C" w:rsidRDefault="00A4514A" w:rsidP="00A4514A">
      <w:pPr>
        <w:pStyle w:val="NormalWeb"/>
        <w:numPr>
          <w:ilvl w:val="2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O número de companhias listadas na bolsa de valores quintuplicou em espaço de três anos. </w:t>
      </w:r>
    </w:p>
    <w:p w14:paraId="17CDCBB0" w14:textId="77777777" w:rsidR="00A4514A" w:rsidRPr="00CB698C" w:rsidRDefault="00A4514A" w:rsidP="00A4514A">
      <w:pPr>
        <w:pStyle w:val="NormalWeb"/>
        <w:numPr>
          <w:ilvl w:val="3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Multiplicaram-se as atividades industriais, das quais participavam os bancos recentemente criados. </w:t>
      </w:r>
    </w:p>
    <w:p w14:paraId="646E83B6" w14:textId="77777777" w:rsidR="00A4514A" w:rsidRPr="00CB698C" w:rsidRDefault="00A4514A" w:rsidP="00A4514A">
      <w:pPr>
        <w:pStyle w:val="NormalWeb"/>
        <w:numPr>
          <w:ilvl w:val="4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>Pouco mais de três meses após a edição da lei Bancária, Rui Barbosa autorizou a criação de bancos emissores regionais</w:t>
      </w:r>
      <w:r w:rsidRPr="00CB698C">
        <w:rPr>
          <w:rFonts w:ascii="Calibri" w:hAnsi="Calibri"/>
          <w:sz w:val="20"/>
          <w:szCs w:val="20"/>
        </w:rPr>
        <w:t>.</w:t>
      </w:r>
    </w:p>
    <w:p w14:paraId="4BD0A1ED" w14:textId="782CA979" w:rsidR="00A4514A" w:rsidRPr="00CB698C" w:rsidRDefault="00A4514A" w:rsidP="00A4514A">
      <w:pPr>
        <w:pStyle w:val="NormalWeb"/>
        <w:numPr>
          <w:ilvl w:val="5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O Banco da República dos Estados Unidos do Brasil – resultado da fusão com o Banco Nacional, criado no gabinete de Visconde do Ouro Preto – e o Banco do Brasil – o terceiro a contar desde 1808 – foram autorizados a duplicar sem conversibilidade em ouro o volume de emissões. </w:t>
      </w:r>
    </w:p>
    <w:p w14:paraId="3966600D" w14:textId="77777777" w:rsidR="007F0673" w:rsidRPr="00CB698C" w:rsidRDefault="007F0673" w:rsidP="007F0673">
      <w:pPr>
        <w:pStyle w:val="NormalWeb"/>
        <w:numPr>
          <w:ilvl w:val="1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Na bolsa de valores, contudo, formou-se rapidamente uma espiral especulativa. </w:t>
      </w:r>
    </w:p>
    <w:p w14:paraId="513F924D" w14:textId="77777777" w:rsidR="007F0673" w:rsidRPr="00CB698C" w:rsidRDefault="007F0673" w:rsidP="007F0673">
      <w:pPr>
        <w:pStyle w:val="NormalWeb"/>
        <w:numPr>
          <w:ilvl w:val="2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As emissões foram pouco empregadas na produção industrial, e as que, sim, o foram se concentraram sobretudo em São Paulo. </w:t>
      </w:r>
    </w:p>
    <w:p w14:paraId="3B2E020F" w14:textId="77777777" w:rsidR="007F0673" w:rsidRPr="00CB698C" w:rsidRDefault="007F0673" w:rsidP="007F0673">
      <w:pPr>
        <w:pStyle w:val="NormalWeb"/>
        <w:numPr>
          <w:ilvl w:val="3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A maior parte do crédito, para desgosto de Rui Barbosa, tornou-se recurso especulativo. </w:t>
      </w:r>
    </w:p>
    <w:p w14:paraId="6D42A5BF" w14:textId="77D6420C" w:rsidR="009420FC" w:rsidRPr="00CB698C" w:rsidRDefault="007F0673" w:rsidP="00CB698C">
      <w:pPr>
        <w:pStyle w:val="NormalWeb"/>
        <w:numPr>
          <w:ilvl w:val="3"/>
          <w:numId w:val="11"/>
        </w:numPr>
        <w:jc w:val="both"/>
        <w:rPr>
          <w:rFonts w:ascii="Calibri" w:hAnsi="Calibri"/>
        </w:rPr>
      </w:pPr>
      <w:r w:rsidRPr="00CB698C">
        <w:rPr>
          <w:rFonts w:ascii="Calibri" w:hAnsi="Calibri"/>
          <w:sz w:val="20"/>
          <w:szCs w:val="20"/>
        </w:rPr>
        <w:t xml:space="preserve">Assim, deu-se origem à crise do </w:t>
      </w:r>
      <w:r w:rsidRPr="00CB698C">
        <w:rPr>
          <w:rFonts w:ascii="Calibri" w:hAnsi="Calibri"/>
          <w:i/>
          <w:iCs/>
          <w:sz w:val="20"/>
          <w:szCs w:val="20"/>
        </w:rPr>
        <w:t>encilhamento</w:t>
      </w:r>
      <w:r w:rsidRPr="00CB698C">
        <w:rPr>
          <w:rFonts w:ascii="Calibri" w:hAnsi="Calibri"/>
          <w:sz w:val="20"/>
          <w:szCs w:val="20"/>
        </w:rPr>
        <w:t xml:space="preserve">, que se </w:t>
      </w:r>
      <w:r w:rsidRPr="00CB698C">
        <w:rPr>
          <w:rFonts w:ascii="Calibri" w:hAnsi="Calibri"/>
          <w:sz w:val="20"/>
          <w:szCs w:val="20"/>
        </w:rPr>
        <w:t>caracterizo</w:t>
      </w:r>
      <w:r w:rsidRPr="00CB698C">
        <w:rPr>
          <w:rFonts w:ascii="Calibri" w:hAnsi="Calibri"/>
          <w:sz w:val="20"/>
          <w:szCs w:val="20"/>
        </w:rPr>
        <w:t>u</w:t>
      </w:r>
      <w:r w:rsidRPr="00CB698C">
        <w:rPr>
          <w:rFonts w:ascii="Calibri" w:hAnsi="Calibri"/>
          <w:sz w:val="20"/>
          <w:szCs w:val="20"/>
        </w:rPr>
        <w:t xml:space="preserve"> por uma crise financeira que derrubou os preços das ações e arrefeceu a expansão das indústrias, quando não as levou à falência. </w:t>
      </w:r>
    </w:p>
    <w:p w14:paraId="08394B4F" w14:textId="77777777" w:rsidR="00111DB4" w:rsidRPr="007F2661" w:rsidRDefault="00111DB4" w:rsidP="009420FC">
      <w:pPr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No dia 3 de novembro de 1891, o presidente dissolveu o poder Legislativo, à moda da carta de 1824, e prometeu uma nova constituinte. </w:t>
      </w:r>
    </w:p>
    <w:p w14:paraId="190AD2FE" w14:textId="77777777" w:rsidR="00111DB4" w:rsidRPr="007F2661" w:rsidRDefault="00111DB4" w:rsidP="009420FC">
      <w:pPr>
        <w:numPr>
          <w:ilvl w:val="2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Vinte dias após a dissolução do Congresso, parte das Forças Armadas, sobretudo aquelas ligadas ao </w:t>
      </w:r>
      <w:r>
        <w:rPr>
          <w:rFonts w:ascii="Calibri" w:hAnsi="Calibri" w:cs="Calibri"/>
          <w:sz w:val="20"/>
          <w:szCs w:val="20"/>
        </w:rPr>
        <w:t>jacobinismo</w:t>
      </w:r>
      <w:r w:rsidRPr="007F2661">
        <w:rPr>
          <w:rFonts w:ascii="Calibri" w:hAnsi="Calibri" w:cs="Calibri"/>
          <w:sz w:val="20"/>
          <w:szCs w:val="20"/>
        </w:rPr>
        <w:t xml:space="preserve"> do Marechal Floriano Peixoto, aliou-se à oposição civil para derrubar Deodoro da Fonseca. </w:t>
      </w:r>
    </w:p>
    <w:p w14:paraId="4F4D2414" w14:textId="20A66089" w:rsidR="00111DB4" w:rsidRDefault="00111DB4" w:rsidP="009420FC">
      <w:pPr>
        <w:numPr>
          <w:ilvl w:val="3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Primeira Revolta da Armada. </w:t>
      </w:r>
    </w:p>
    <w:p w14:paraId="7F714EC4" w14:textId="77777777" w:rsidR="00111DB4" w:rsidRPr="007F2661" w:rsidRDefault="00111DB4" w:rsidP="00111DB4">
      <w:pPr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O segundo golpe em menos de três anos dava a presidência a Floriano Peixoto. </w:t>
      </w:r>
    </w:p>
    <w:p w14:paraId="38E7B8EE" w14:textId="77777777" w:rsidR="00111DB4" w:rsidRPr="007F2661" w:rsidRDefault="00111DB4" w:rsidP="00111DB4">
      <w:pPr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O novo Presidente constitui uma República jacobina, isto é, radical, militar e popular. </w:t>
      </w:r>
    </w:p>
    <w:p w14:paraId="2CAE4287" w14:textId="77777777" w:rsidR="00111DB4" w:rsidRPr="007F2661" w:rsidRDefault="00111DB4" w:rsidP="00111DB4">
      <w:pPr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Defendia maior centralização do que aquela configurada na carta de 1891 e, para tanto, contava com o apoio da mocidade militar do Exército. </w:t>
      </w:r>
    </w:p>
    <w:p w14:paraId="343AF422" w14:textId="77777777" w:rsidR="00111DB4" w:rsidRPr="007F2661" w:rsidRDefault="00111DB4" w:rsidP="00111DB4">
      <w:pPr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Mas! </w:t>
      </w:r>
    </w:p>
    <w:p w14:paraId="54B493F1" w14:textId="77777777" w:rsidR="00111DB4" w:rsidRPr="007F2661" w:rsidRDefault="00111DB4" w:rsidP="00111DB4">
      <w:pPr>
        <w:numPr>
          <w:ilvl w:val="2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 xml:space="preserve">Sem o Partido Republicano Paulista, os florianistas não governariam, e sem estes, aqueles não teriam acesso à União. </w:t>
      </w:r>
    </w:p>
    <w:p w14:paraId="7DB4A022" w14:textId="77777777" w:rsidR="009420FC" w:rsidRDefault="00111DB4" w:rsidP="00111DB4">
      <w:pPr>
        <w:numPr>
          <w:ilvl w:val="1"/>
          <w:numId w:val="11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7F2661">
        <w:rPr>
          <w:rFonts w:ascii="Calibri" w:hAnsi="Calibri" w:cs="Calibri"/>
          <w:sz w:val="20"/>
          <w:szCs w:val="20"/>
        </w:rPr>
        <w:t>Tornavam-se mais nítidas as três variáveis de incerteza política que caracterizaram os 40 anos da Primeira República, quais sejam, a gestão dos atores coletivos, as relações entre União e Estados e entre Executivo e Legislativo</w:t>
      </w:r>
      <w:r w:rsidR="009420FC">
        <w:rPr>
          <w:rFonts w:ascii="Calibri" w:hAnsi="Calibri" w:cs="Calibri"/>
          <w:sz w:val="20"/>
          <w:szCs w:val="20"/>
        </w:rPr>
        <w:t>.</w:t>
      </w:r>
    </w:p>
    <w:p w14:paraId="15702CCB" w14:textId="77777777" w:rsidR="009420FC" w:rsidRPr="009420FC" w:rsidRDefault="009420FC" w:rsidP="009420FC">
      <w:pPr>
        <w:pStyle w:val="NormalWeb"/>
        <w:numPr>
          <w:ilvl w:val="1"/>
          <w:numId w:val="11"/>
        </w:numPr>
        <w:jc w:val="both"/>
        <w:rPr>
          <w:rFonts w:ascii="Calibri" w:hAnsi="Calibri"/>
          <w:sz w:val="20"/>
          <w:szCs w:val="20"/>
        </w:rPr>
      </w:pPr>
      <w:r w:rsidRPr="009420FC">
        <w:rPr>
          <w:rFonts w:ascii="Calibri" w:hAnsi="Calibri"/>
          <w:sz w:val="20"/>
          <w:szCs w:val="20"/>
        </w:rPr>
        <w:lastRenderedPageBreak/>
        <w:t xml:space="preserve">O governo de Floriano Peixoto editou lei que vedou aos bancos o direito de emissão de papel-moeda, mas garantiu a constituição de um pequeno fundo de empréstimos públicos. </w:t>
      </w:r>
    </w:p>
    <w:p w14:paraId="0B7325B7" w14:textId="77777777" w:rsidR="009420FC" w:rsidRPr="009420FC" w:rsidRDefault="009420FC" w:rsidP="009420FC">
      <w:pPr>
        <w:pStyle w:val="NormalWeb"/>
        <w:numPr>
          <w:ilvl w:val="2"/>
          <w:numId w:val="11"/>
        </w:numPr>
        <w:rPr>
          <w:rFonts w:ascii="Calibri" w:hAnsi="Calibri"/>
          <w:sz w:val="20"/>
          <w:szCs w:val="20"/>
        </w:rPr>
      </w:pPr>
      <w:r w:rsidRPr="009420FC">
        <w:rPr>
          <w:rFonts w:ascii="Calibri" w:hAnsi="Calibri"/>
          <w:sz w:val="20"/>
          <w:szCs w:val="20"/>
        </w:rPr>
        <w:t xml:space="preserve">Ao mesmo tempo, Floriano tabelou os preços dos bens de primeira necessidade. </w:t>
      </w:r>
    </w:p>
    <w:p w14:paraId="2E9C6B5B" w14:textId="1F4DE432" w:rsidR="00111DB4" w:rsidRPr="009420FC" w:rsidRDefault="00111DB4" w:rsidP="009420FC">
      <w:pPr>
        <w:pStyle w:val="NormalWeb"/>
        <w:numPr>
          <w:ilvl w:val="3"/>
          <w:numId w:val="11"/>
        </w:numPr>
        <w:jc w:val="both"/>
        <w:rPr>
          <w:rFonts w:ascii="Calibri" w:hAnsi="Calibri"/>
        </w:rPr>
      </w:pPr>
      <w:r w:rsidRPr="007F2661">
        <w:rPr>
          <w:rFonts w:ascii="Calibri" w:hAnsi="Calibri" w:cs="Calibri"/>
          <w:sz w:val="20"/>
          <w:szCs w:val="20"/>
        </w:rPr>
        <w:t xml:space="preserve"> </w:t>
      </w:r>
      <w:r w:rsidR="009420FC" w:rsidRPr="007F0673">
        <w:rPr>
          <w:rFonts w:ascii="Calibri" w:hAnsi="Calibri"/>
          <w:sz w:val="20"/>
          <w:szCs w:val="20"/>
        </w:rPr>
        <w:t xml:space="preserve">Rodrigues Alves, ministro da Fazenda durante o governo de Floriano Peixoto, tornou-se defensor do metalismo e, com ele, Serzedelo Correia, também ministro da Fazenda no mesmo período. </w:t>
      </w:r>
    </w:p>
    <w:p w14:paraId="41CF3DA0" w14:textId="77777777" w:rsidR="00111DB4" w:rsidRPr="00A8143A" w:rsidRDefault="00111DB4" w:rsidP="00111DB4">
      <w:pPr>
        <w:numPr>
          <w:ilvl w:val="0"/>
          <w:numId w:val="12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O compromisso entre o Partido Republicano Paulista e Floriano Peixoto abriu uma segunda brecha na ordem constitucional de 1891, se considerarmos a primeira a dissolução do Congresso por Deodoro. </w:t>
      </w:r>
    </w:p>
    <w:p w14:paraId="467C0C79" w14:textId="77777777" w:rsidR="00111DB4" w:rsidRPr="00A8143A" w:rsidRDefault="00111DB4" w:rsidP="00111DB4">
      <w:pPr>
        <w:numPr>
          <w:ilvl w:val="1"/>
          <w:numId w:val="12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A Constituição previa, no caso de vacância na presidência nos primeiros dois anos de mandato, a convocação de novas eleições, que o Vice-Presidente deveria assegurar. </w:t>
      </w:r>
    </w:p>
    <w:p w14:paraId="29D22F67" w14:textId="53593563" w:rsidR="00111DB4" w:rsidRDefault="00111DB4" w:rsidP="00111DB4">
      <w:pPr>
        <w:numPr>
          <w:ilvl w:val="1"/>
          <w:numId w:val="12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Embora o Partido Republicano Paulista advogasse o respeito à ordem constitucional, não se opôs a permanência de Floriano até 1894, quando completaria o mandato de Deodoro. </w:t>
      </w:r>
    </w:p>
    <w:p w14:paraId="6B95FB85" w14:textId="494EAC4A" w:rsidR="00111DB4" w:rsidRPr="00111DB4" w:rsidRDefault="00111DB4" w:rsidP="00111DB4">
      <w:pPr>
        <w:pStyle w:val="PargrafodaLista"/>
        <w:numPr>
          <w:ilvl w:val="0"/>
          <w:numId w:val="12"/>
        </w:numPr>
        <w:tabs>
          <w:tab w:val="left" w:pos="1507"/>
        </w:tabs>
        <w:jc w:val="both"/>
        <w:rPr>
          <w:rFonts w:ascii="Calibri" w:hAnsi="Calibri" w:cs="Calibri"/>
          <w:sz w:val="20"/>
          <w:szCs w:val="20"/>
        </w:rPr>
      </w:pPr>
      <w:r w:rsidRPr="00111DB4">
        <w:rPr>
          <w:rFonts w:ascii="Calibri" w:hAnsi="Calibri" w:cs="Calibri"/>
          <w:sz w:val="20"/>
          <w:szCs w:val="20"/>
        </w:rPr>
        <w:t>A Revolução Federalista</w:t>
      </w:r>
    </w:p>
    <w:p w14:paraId="6A347629" w14:textId="07D4B2D5" w:rsidR="00111DB4" w:rsidRDefault="00111DB4" w:rsidP="00111DB4">
      <w:pPr>
        <w:pStyle w:val="PargrafodaLista"/>
        <w:numPr>
          <w:ilvl w:val="0"/>
          <w:numId w:val="12"/>
        </w:numPr>
        <w:tabs>
          <w:tab w:val="left" w:pos="1507"/>
        </w:tabs>
        <w:jc w:val="both"/>
        <w:rPr>
          <w:rFonts w:ascii="Calibri" w:hAnsi="Calibri" w:cs="Calibri"/>
          <w:sz w:val="20"/>
          <w:szCs w:val="20"/>
        </w:rPr>
      </w:pPr>
      <w:r w:rsidRPr="00111DB4">
        <w:rPr>
          <w:rFonts w:ascii="Calibri" w:hAnsi="Calibri" w:cs="Calibri"/>
          <w:sz w:val="20"/>
          <w:szCs w:val="20"/>
        </w:rPr>
        <w:t>Segunda Revolta da Armada</w:t>
      </w:r>
    </w:p>
    <w:p w14:paraId="05DD5200" w14:textId="6BD87C41" w:rsidR="00111DB4" w:rsidRDefault="00111DB4" w:rsidP="00111DB4">
      <w:pPr>
        <w:tabs>
          <w:tab w:val="left" w:pos="1507"/>
        </w:tabs>
        <w:jc w:val="both"/>
        <w:rPr>
          <w:rFonts w:ascii="Calibri" w:hAnsi="Calibri" w:cs="Calibri"/>
          <w:sz w:val="20"/>
          <w:szCs w:val="20"/>
        </w:rPr>
      </w:pPr>
    </w:p>
    <w:p w14:paraId="565B702C" w14:textId="045DFE47" w:rsidR="00111DB4" w:rsidRPr="00C12038" w:rsidRDefault="00111DB4" w:rsidP="00111DB4">
      <w:pPr>
        <w:pStyle w:val="PargrafodaLista"/>
        <w:numPr>
          <w:ilvl w:val="0"/>
          <w:numId w:val="14"/>
        </w:numPr>
        <w:tabs>
          <w:tab w:val="left" w:pos="1507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C12038">
        <w:rPr>
          <w:rFonts w:ascii="Calibri" w:hAnsi="Calibri" w:cs="Calibri"/>
          <w:b/>
          <w:bCs/>
          <w:sz w:val="20"/>
          <w:szCs w:val="20"/>
        </w:rPr>
        <w:t>Entropia republicana: os anos Prudente de Morais</w:t>
      </w:r>
    </w:p>
    <w:p w14:paraId="0CEB3143" w14:textId="77777777" w:rsidR="00111DB4" w:rsidRPr="00A8143A" w:rsidRDefault="00111DB4" w:rsidP="00111DB4">
      <w:pPr>
        <w:pStyle w:val="PargrafodaLista"/>
        <w:tabs>
          <w:tab w:val="left" w:pos="1507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35CD92AF" w14:textId="77777777" w:rsidR="00111DB4" w:rsidRPr="00A8143A" w:rsidRDefault="00111DB4" w:rsidP="00111DB4">
      <w:pPr>
        <w:numPr>
          <w:ilvl w:val="0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Desmantelamento da aproximação com os florianistas.</w:t>
      </w:r>
    </w:p>
    <w:p w14:paraId="2A811805" w14:textId="77777777" w:rsidR="00111DB4" w:rsidRPr="00A8143A" w:rsidRDefault="00111DB4" w:rsidP="00111DB4">
      <w:pPr>
        <w:numPr>
          <w:ilvl w:val="1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O acordo de 1894 era tácito e não resistiu as desmobilizações da base jacobina promovidas pelo novo presidente paulista. </w:t>
      </w:r>
    </w:p>
    <w:p w14:paraId="3583467E" w14:textId="77777777" w:rsidR="00111DB4" w:rsidRPr="00A8143A" w:rsidRDefault="00111DB4" w:rsidP="00111DB4">
      <w:pPr>
        <w:numPr>
          <w:ilvl w:val="2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Ficava clara a fronteira ideológica que separava a elite política agroexportadora do republicanismo radical carioca.</w:t>
      </w:r>
    </w:p>
    <w:p w14:paraId="08341EFA" w14:textId="77777777" w:rsidR="00111DB4" w:rsidRPr="00A8143A" w:rsidRDefault="00111DB4" w:rsidP="00111DB4">
      <w:pPr>
        <w:numPr>
          <w:ilvl w:val="2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De forma a limitar a margem de ação dos jacobinos, Prudente de Morais cortou a verba militar e demitiu funcionários públicos ligados ao radicalismo florianista. </w:t>
      </w:r>
    </w:p>
    <w:p w14:paraId="52951012" w14:textId="77777777" w:rsidR="00111DB4" w:rsidRPr="00A8143A" w:rsidRDefault="00111DB4" w:rsidP="00111DB4">
      <w:pPr>
        <w:numPr>
          <w:ilvl w:val="3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Os jacobinos responderam à altura das demissões, provocando arruaça pública e protestos de grande envergadura.</w:t>
      </w:r>
    </w:p>
    <w:p w14:paraId="3B9665AB" w14:textId="77777777" w:rsidR="00111DB4" w:rsidRPr="00A8143A" w:rsidRDefault="00111DB4" w:rsidP="00111DB4">
      <w:pPr>
        <w:numPr>
          <w:ilvl w:val="4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Eram membros da classe média e popular, operários e, sobretudo, militares de baixa patente: acusavam o arrocho fiscal e os altos custos de vida.</w:t>
      </w:r>
    </w:p>
    <w:p w14:paraId="13C736E0" w14:textId="77777777" w:rsidR="00111DB4" w:rsidRPr="00A8143A" w:rsidRDefault="00111DB4" w:rsidP="00111DB4">
      <w:pPr>
        <w:numPr>
          <w:ilvl w:val="2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Os jacobinos eram nacionalistas e, não raro, assumiam feições antilusitanas. </w:t>
      </w:r>
    </w:p>
    <w:p w14:paraId="5C90FC7A" w14:textId="77777777" w:rsidR="00111DB4" w:rsidRDefault="00111DB4" w:rsidP="00111DB4">
      <w:pPr>
        <w:numPr>
          <w:ilvl w:val="3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 xml:space="preserve">Conforme pregara o próprio Floriano Peixoto, os portugueses – ou galegos, como eram então chamados – deveriam ser extirpados do Brasil, já que além de monopolizar o comércio varejista do Rio de Janeiro, davam preferencia a contratação de mão de obra portuguesa em detrimento da brasileira. </w:t>
      </w:r>
    </w:p>
    <w:p w14:paraId="4A553E7B" w14:textId="77777777" w:rsidR="00111DB4" w:rsidRPr="00A8143A" w:rsidRDefault="00111DB4" w:rsidP="00111DB4">
      <w:pPr>
        <w:numPr>
          <w:ilvl w:val="0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Prudente de Morais não cedeu:</w:t>
      </w:r>
    </w:p>
    <w:p w14:paraId="434AC143" w14:textId="77777777" w:rsidR="00111DB4" w:rsidRPr="00A8143A" w:rsidRDefault="00111DB4" w:rsidP="00111DB4">
      <w:pPr>
        <w:numPr>
          <w:ilvl w:val="1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Buscou cindir o Exército entre oficiais de baixa patente e alto oficialato.</w:t>
      </w:r>
    </w:p>
    <w:p w14:paraId="25E4F33E" w14:textId="77777777" w:rsidR="00111DB4" w:rsidRPr="00A8143A" w:rsidRDefault="00111DB4" w:rsidP="00111DB4">
      <w:pPr>
        <w:numPr>
          <w:ilvl w:val="1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lastRenderedPageBreak/>
        <w:t xml:space="preserve">O objetivo era torná-lo menos uma instituição total do que uma entidade vinculada à presidência. </w:t>
      </w:r>
    </w:p>
    <w:p w14:paraId="5B546B70" w14:textId="20AD12CA" w:rsidR="00111DB4" w:rsidRDefault="00111DB4" w:rsidP="00111DB4">
      <w:pPr>
        <w:numPr>
          <w:ilvl w:val="2"/>
          <w:numId w:val="13"/>
        </w:num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8143A">
        <w:rPr>
          <w:rFonts w:ascii="Calibri" w:hAnsi="Calibri" w:cs="Calibri"/>
          <w:sz w:val="20"/>
          <w:szCs w:val="20"/>
        </w:rPr>
        <w:t>Cooptou o ministério da Guerra, expulsando os últimos vestígios florianistas do governo</w:t>
      </w:r>
      <w:r>
        <w:rPr>
          <w:rFonts w:ascii="Calibri" w:hAnsi="Calibri" w:cs="Calibri"/>
          <w:sz w:val="20"/>
          <w:szCs w:val="20"/>
        </w:rPr>
        <w:t>.</w:t>
      </w:r>
    </w:p>
    <w:p w14:paraId="15563436" w14:textId="77777777" w:rsidR="00336599" w:rsidRDefault="00336599" w:rsidP="00336599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D9C6B62" w14:textId="49CF9DF6" w:rsidR="00336599" w:rsidRPr="00336599" w:rsidRDefault="00336599" w:rsidP="00336599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I</w:t>
      </w:r>
      <w:r w:rsidRPr="00336599">
        <w:rPr>
          <w:rFonts w:ascii="Calibri" w:hAnsi="Calibri" w:cs="Calibri"/>
          <w:b/>
          <w:sz w:val="20"/>
          <w:szCs w:val="20"/>
          <w:u w:val="single"/>
        </w:rPr>
        <w:t xml:space="preserve">II] </w:t>
      </w:r>
      <w:r>
        <w:rPr>
          <w:rFonts w:ascii="Calibri" w:hAnsi="Calibri" w:cs="Calibri"/>
          <w:b/>
          <w:sz w:val="20"/>
          <w:szCs w:val="20"/>
          <w:u w:val="single"/>
        </w:rPr>
        <w:t>A rotinização do regime: de Campos Sales a Afonso Pena</w:t>
      </w:r>
    </w:p>
    <w:p w14:paraId="0332F741" w14:textId="77777777" w:rsidR="003066D2" w:rsidRPr="00BA3B2D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 xml:space="preserve">Após a tentativa de assassinato contra Prudente de Morais, o movimento jacobino foi sufocado. Os militares voltaram à caserna, e a presidência buscou apoio nas bancadas estaduais. </w:t>
      </w:r>
    </w:p>
    <w:p w14:paraId="554437DB" w14:textId="77777777" w:rsidR="003066D2" w:rsidRPr="00BA3B2D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 xml:space="preserve">Prudente de Morais garantiu a eleição de Campos Sales, político paulista que então governava o Estado de São Paulo, em detrimento de Lauro Sodré, candidato positivista da oposição paraense. </w:t>
      </w:r>
    </w:p>
    <w:p w14:paraId="351FA2B9" w14:textId="77777777" w:rsidR="003066D2" w:rsidRPr="00BA3B2D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 xml:space="preserve">São Paulo lançava-se à frente da política dos Estados, o que significava pôr termo às espadas de 1889. </w:t>
      </w:r>
    </w:p>
    <w:p w14:paraId="19B2610F" w14:textId="77777777" w:rsidR="003066D2" w:rsidRPr="00BA3B2D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 xml:space="preserve">Campos Sales compreendeu rapidamente que a chave-mestra da Constituição de 1891 estava nos Estados. </w:t>
      </w:r>
    </w:p>
    <w:p w14:paraId="6B424BB9" w14:textId="77777777" w:rsidR="003066D2" w:rsidRPr="00BA3B2D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>Garantir a governabilidade do regime era assegurar a unidade entre Executivo e Legislativo.</w:t>
      </w:r>
    </w:p>
    <w:p w14:paraId="695FD8CA" w14:textId="77777777" w:rsidR="003066D2" w:rsidRPr="00BA3B2D" w:rsidRDefault="003066D2" w:rsidP="003066D2">
      <w:pPr>
        <w:numPr>
          <w:ilvl w:val="2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 xml:space="preserve"> A União deveria contar com o apoio dos Estados, que articulavam as eleições para a Câmara de Deputados.</w:t>
      </w:r>
    </w:p>
    <w:p w14:paraId="1D0C9C78" w14:textId="77777777" w:rsidR="003066D2" w:rsidRDefault="003066D2" w:rsidP="003066D2">
      <w:pPr>
        <w:numPr>
          <w:ilvl w:val="2"/>
          <w:numId w:val="15"/>
        </w:numPr>
        <w:spacing w:after="200" w:line="276" w:lineRule="auto"/>
        <w:jc w:val="both"/>
        <w:rPr>
          <w:rFonts w:ascii="Calibri" w:hAnsi="Calibri" w:cs="Arial"/>
          <w:sz w:val="20"/>
          <w:szCs w:val="20"/>
        </w:rPr>
      </w:pPr>
      <w:r w:rsidRPr="00BA3B2D">
        <w:rPr>
          <w:rFonts w:ascii="Calibri" w:hAnsi="Calibri" w:cs="Arial"/>
          <w:sz w:val="20"/>
          <w:szCs w:val="20"/>
        </w:rPr>
        <w:t>Em troca, a União apoiaria os Presidentes de Estados e os aliados regionais.</w:t>
      </w:r>
    </w:p>
    <w:p w14:paraId="128D392E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 rotinização do regime entabulada por Campos Sales marcou a cadência do andar republicano, pelo menos até 1910. </w:t>
      </w:r>
    </w:p>
    <w:p w14:paraId="4ED75AAC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Os maiores Estados, assim considerados não somente pelo tamanho de suas bancadas legislativas, mas também pela envergadura da Força Pública estadual e da economia, sucederam-se no poder, fazendo eleições e elegendo Presidentes da República. </w:t>
      </w:r>
    </w:p>
    <w:p w14:paraId="36BE64D5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Saiu à frente, como era de se esperar, o Estado de São Paulo, seguido de Minas Gerais e, em menor medida, do Rio Grande do Sul. </w:t>
      </w:r>
    </w:p>
    <w:p w14:paraId="412F0BE2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Para São Paulo, necessidade de manter controle da União, visto que ao ente federal à implementação das políticas monetária, fiscal e cambial. </w:t>
      </w:r>
    </w:p>
    <w:p w14:paraId="44E7A209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 sustentabilidade da produção cafeeira, principal fonte da renda paulista, em muito coincidia com a condução das políticas econômicas federais. </w:t>
      </w:r>
    </w:p>
    <w:p w14:paraId="0540114F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Embora São Paulo tivesse a segunda maior Força Pública Estadual, perdendo apenas para o Rio Grande do Sul, e contasse com uma bancada de 22 deputados, não poderia governar sem os outros.</w:t>
      </w:r>
    </w:p>
    <w:p w14:paraId="05E4B59B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Por quê?</w:t>
      </w:r>
    </w:p>
    <w:p w14:paraId="3217ADBD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O Estado de Minas Gerais, o mais populoso do Brasil segundo o censo de 1890, tinha bancada maior: eram 37 deputados mineiros, que influenciavam sobremaneira o acesso aos cargos públicos federais. </w:t>
      </w:r>
    </w:p>
    <w:p w14:paraId="5170E880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lastRenderedPageBreak/>
        <w:t xml:space="preserve">A economia mineira, no entanto, não correspondia ao potencial de São Paulo, o que deixava Minas Gerias em posição de dependência perante os recursos orçamentários da União. </w:t>
      </w:r>
    </w:p>
    <w:p w14:paraId="73946338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Não surpreende que os mineiros tenham insistido, ao longo da Primeira República, na expansão das ferrovias federais, que beneficiariam inevitavelmente o Estado de Minas Gerais, visto sua centralidade geográfica. </w:t>
      </w:r>
    </w:p>
    <w:p w14:paraId="1EAF4AB1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Economia fundamentada mais no café do que no gado, Minas Gerais apoiou São Paulo, pelos menos durante os primeiros anos republicanos, nos sucessivos planos de sustentação da produção cafeeira. </w:t>
      </w:r>
    </w:p>
    <w:p w14:paraId="45D118C8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O controle da política econômica da União seria exercido sem embates entre Minas Gerais e São Paulo. </w:t>
      </w:r>
    </w:p>
    <w:p w14:paraId="01B07824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O Rio Grande do Sul era mais problemático para mineiros e para paulistas. </w:t>
      </w:r>
    </w:p>
    <w:p w14:paraId="69FDBB7E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Os gaúchos contavam com o maior número de efetivos do Exército, o que significou constante presença do Rio Grande do Sul nas cúpulas castrenses e no Clube Militar. </w:t>
      </w:r>
    </w:p>
    <w:p w14:paraId="460EB661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Militares e republicanos gaúchos coincidiam no positivismo que marcou a República antes de chegada de Prudente de Morais à presidência. </w:t>
      </w:r>
    </w:p>
    <w:p w14:paraId="3D777D68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Constituição do Rio Grande do Sul era emblematicamente positivista: era a única que permitia a reeleição indefinida do Presidente de Estado. </w:t>
      </w:r>
    </w:p>
    <w:p w14:paraId="2C12D447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Somava-se uma economia voltada para o mercado interno à união entre oficiais de alta e baixa patente com o Partido Republicano Rio-grandense, que não agradava especialmente paulistas e mineiros.</w:t>
      </w:r>
    </w:p>
    <w:p w14:paraId="696664EF" w14:textId="02ACDAE4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Se a política econômica da União fosse </w:t>
      </w:r>
      <w:r w:rsidR="009C284A">
        <w:rPr>
          <w:rFonts w:ascii="Calibri" w:hAnsi="Calibri" w:cs="Calibri"/>
          <w:sz w:val="20"/>
          <w:szCs w:val="20"/>
        </w:rPr>
        <w:t xml:space="preserve">muito </w:t>
      </w:r>
      <w:r w:rsidRPr="003D26A5">
        <w:rPr>
          <w:rFonts w:ascii="Calibri" w:hAnsi="Calibri" w:cs="Calibri"/>
          <w:sz w:val="20"/>
          <w:szCs w:val="20"/>
        </w:rPr>
        <w:t xml:space="preserve">laxista, o que privilegiava, em grande medida, a economia cafeeira do Sudeste, a economia gaúcha sofreria com a alta da inflação e, portanto, com a perda de poder aquisitivo dos consumidores nacionais. </w:t>
      </w:r>
    </w:p>
    <w:p w14:paraId="183B070F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Se considerarmos, ainda, a forte concorrência do charque platino, temos que os gaúchos eram fervorosos advogados de políticas conservadoras e ortodoxas. </w:t>
      </w:r>
    </w:p>
    <w:p w14:paraId="2B8A82F2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 política dos Estados resultou na concertação entre paulistas e mineiros; juntos, ambos os Estados superavam amplamente a bancada legislativa gaúcha. </w:t>
      </w:r>
    </w:p>
    <w:p w14:paraId="7BCE561A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Essa </w:t>
      </w:r>
      <w:r w:rsidRPr="003D26A5">
        <w:rPr>
          <w:rFonts w:ascii="Calibri" w:hAnsi="Calibri" w:cs="Calibri"/>
          <w:i/>
          <w:iCs/>
          <w:sz w:val="20"/>
          <w:szCs w:val="20"/>
        </w:rPr>
        <w:t xml:space="preserve">“política do café com leite”, </w:t>
      </w:r>
      <w:r w:rsidRPr="003D26A5">
        <w:rPr>
          <w:rFonts w:ascii="Calibri" w:hAnsi="Calibri" w:cs="Calibri"/>
          <w:sz w:val="20"/>
          <w:szCs w:val="20"/>
        </w:rPr>
        <w:t xml:space="preserve">denominação que caracterizou a concertação entre São Paulo e Minas Gerais, mais se parecia a uma política do café...com café, visto que havia mais identidade do que complementariedade entre paulistas e mineiros. </w:t>
      </w:r>
    </w:p>
    <w:p w14:paraId="35CA1BA2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Se Sucederiam esses Estados na presidência da República, a contar a partir de 1902, quando deixou o governo Campos Sales. </w:t>
      </w:r>
    </w:p>
    <w:p w14:paraId="2592D6D1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Largariam novamente os paulistas na frente, em consideração com o apaziguamento político trazido por Campos Sales e pelo bem da </w:t>
      </w:r>
      <w:r w:rsidRPr="003D26A5">
        <w:rPr>
          <w:rFonts w:ascii="Calibri" w:hAnsi="Calibri" w:cs="Calibri"/>
          <w:i/>
          <w:iCs/>
          <w:sz w:val="20"/>
          <w:szCs w:val="20"/>
        </w:rPr>
        <w:t xml:space="preserve">rotinização do regime. </w:t>
      </w:r>
    </w:p>
    <w:p w14:paraId="0D47D5EA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O Rio Grande do Sul ficou fora do arranjo político.</w:t>
      </w:r>
    </w:p>
    <w:p w14:paraId="17E61826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 xml:space="preserve">Afirmava-se o regime civilista em torno da união entre membros do Partido Republicano Paulista. </w:t>
      </w:r>
    </w:p>
    <w:p w14:paraId="71392EBC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lastRenderedPageBreak/>
        <w:t xml:space="preserve">A presidência do paulista Rodrigues Alves, entre 1902 e 1906, foi marcada por um empreendedorismo modernizador, especialmente no Rio de Janeiro. </w:t>
      </w:r>
    </w:p>
    <w:p w14:paraId="39C2E6B2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Constitui ministérios sólidos e duradouros, notadamente com José Maria Da Silva Paranhos Júnior, o Barão do Rio Branco, na pasta das Relações Exteriores, com J. J. Seabra no ministério da Justiça e dos Negócios Interiores, e José Leopoldo de Bulhões Jardim na pasta da Fazenda.</w:t>
      </w:r>
    </w:p>
    <w:p w14:paraId="05191302" w14:textId="77777777" w:rsidR="003066D2" w:rsidRPr="003D26A5" w:rsidRDefault="003066D2" w:rsidP="003066D2">
      <w:pPr>
        <w:numPr>
          <w:ilvl w:val="2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Fortalecimento interno e externo.</w:t>
      </w:r>
    </w:p>
    <w:p w14:paraId="2DFAED20" w14:textId="77777777" w:rsidR="003066D2" w:rsidRPr="003D26A5" w:rsidRDefault="003066D2" w:rsidP="003066D2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Projeto modernizador:</w:t>
      </w:r>
    </w:p>
    <w:p w14:paraId="0E679D59" w14:textId="77777777" w:rsidR="003066D2" w:rsidRPr="003D26A5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Nomeação de Oswaldo Cruz na Diretoria-Geral da Saúde Pública.</w:t>
      </w:r>
    </w:p>
    <w:p w14:paraId="380C2611" w14:textId="4CD5EB16" w:rsidR="003066D2" w:rsidRDefault="003066D2" w:rsidP="003066D2">
      <w:pPr>
        <w:numPr>
          <w:ilvl w:val="1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3D26A5">
        <w:rPr>
          <w:rFonts w:ascii="Calibri" w:hAnsi="Calibri" w:cs="Calibri"/>
          <w:sz w:val="20"/>
          <w:szCs w:val="20"/>
        </w:rPr>
        <w:t>Nomeação de Pereira Passos para a prefeitura do Rio de Janeiro.</w:t>
      </w:r>
    </w:p>
    <w:p w14:paraId="64A8301F" w14:textId="449F1309" w:rsidR="00C12038" w:rsidRPr="00C12038" w:rsidRDefault="00C12038" w:rsidP="00C12038">
      <w:pPr>
        <w:pStyle w:val="NormalWeb"/>
        <w:numPr>
          <w:ilvl w:val="0"/>
          <w:numId w:val="15"/>
        </w:numPr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Em parte devido à </w:t>
      </w:r>
      <w:r w:rsidR="009C284A" w:rsidRPr="00C12038">
        <w:rPr>
          <w:rFonts w:ascii="Calibri" w:hAnsi="Calibri"/>
          <w:sz w:val="20"/>
          <w:szCs w:val="20"/>
        </w:rPr>
        <w:t>expansão</w:t>
      </w:r>
      <w:r w:rsidRPr="00C12038">
        <w:rPr>
          <w:rFonts w:ascii="Calibri" w:hAnsi="Calibri"/>
          <w:sz w:val="20"/>
          <w:szCs w:val="20"/>
        </w:rPr>
        <w:t xml:space="preserve"> dos investimentos estrangeiros diretos no Brasil, em parte em razão do saneamento econômico promovido por Campos Sales, a presidência de Rodrigues Alves inaugurou período de crescimento do produto interno sob controle das emissões</w:t>
      </w:r>
      <w:r>
        <w:rPr>
          <w:rFonts w:ascii="Calibri" w:hAnsi="Calibri"/>
          <w:sz w:val="20"/>
          <w:szCs w:val="20"/>
        </w:rPr>
        <w:t>.</w:t>
      </w:r>
    </w:p>
    <w:p w14:paraId="11751410" w14:textId="77777777" w:rsidR="00C12038" w:rsidRPr="00C12038" w:rsidRDefault="00C12038" w:rsidP="00C12038">
      <w:pPr>
        <w:pStyle w:val="NormalWeb"/>
        <w:numPr>
          <w:ilvl w:val="1"/>
          <w:numId w:val="15"/>
        </w:numPr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Fruto de incentivos fiscais, a indústria expandiu-se, ainda que essa pujança se concentrasse sobremaneira no setor têxtil. </w:t>
      </w:r>
    </w:p>
    <w:p w14:paraId="65F7A6F7" w14:textId="77777777" w:rsidR="00C12038" w:rsidRPr="00C12038" w:rsidRDefault="00C12038" w:rsidP="00C12038">
      <w:pPr>
        <w:pStyle w:val="NormalWeb"/>
        <w:numPr>
          <w:ilvl w:val="1"/>
          <w:numId w:val="15"/>
        </w:numPr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A produção cafeeira, devido às plantações anteriores, não cessava de aumentar, o que terminaria pondo em risco a manutenção da renda dos cafeicultores, sobretudo se houvesse valorização do câmbio. </w:t>
      </w:r>
    </w:p>
    <w:p w14:paraId="582E6317" w14:textId="77777777" w:rsidR="00C12038" w:rsidRPr="00C12038" w:rsidRDefault="00C12038" w:rsidP="00C12038">
      <w:pPr>
        <w:pStyle w:val="NormalWeb"/>
        <w:numPr>
          <w:ilvl w:val="2"/>
          <w:numId w:val="15"/>
        </w:numPr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Foi precisamente o que ocorreu em 1905, quando a taxa de câmbio alcançou os patamares de 1902. </w:t>
      </w:r>
    </w:p>
    <w:p w14:paraId="10D42702" w14:textId="77777777" w:rsidR="00C12038" w:rsidRPr="00C12038" w:rsidRDefault="00C12038" w:rsidP="00C12038">
      <w:pPr>
        <w:pStyle w:val="NormalWeb"/>
        <w:numPr>
          <w:ilvl w:val="3"/>
          <w:numId w:val="15"/>
        </w:numPr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A persistência do investimento externo combinada à contínua expansão das vendas de borracha não apontavam para a desvalorização que os cafeicultores paulistas almejavam. </w:t>
      </w:r>
    </w:p>
    <w:p w14:paraId="427A08FE" w14:textId="3EC11875" w:rsidR="00C12038" w:rsidRPr="00C12038" w:rsidRDefault="00C12038" w:rsidP="00C12038">
      <w:pPr>
        <w:pStyle w:val="NormalWeb"/>
        <w:numPr>
          <w:ilvl w:val="4"/>
          <w:numId w:val="15"/>
        </w:numPr>
        <w:jc w:val="both"/>
        <w:rPr>
          <w:rFonts w:ascii="Calibri" w:hAnsi="Calibri"/>
        </w:rPr>
      </w:pPr>
      <w:r w:rsidRPr="00C12038">
        <w:rPr>
          <w:rFonts w:ascii="Calibri" w:hAnsi="Calibri"/>
          <w:sz w:val="20"/>
          <w:szCs w:val="20"/>
        </w:rPr>
        <w:t xml:space="preserve">Pior, o ano de 1906 indicava que uma nova supersafra de café levaria ao colapso dos preços do café. </w:t>
      </w:r>
    </w:p>
    <w:p w14:paraId="45A8801C" w14:textId="77777777" w:rsidR="00C12038" w:rsidRPr="003D26A5" w:rsidRDefault="00C12038" w:rsidP="00C12038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2AB6A0FB" w14:textId="3B4A8F9B" w:rsidR="00336599" w:rsidRDefault="00336599" w:rsidP="00336599">
      <w:p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6B23C578" w14:textId="77777777" w:rsidR="00111DB4" w:rsidRPr="00111DB4" w:rsidRDefault="00111DB4" w:rsidP="00111DB4">
      <w:pPr>
        <w:tabs>
          <w:tab w:val="left" w:pos="1507"/>
        </w:tabs>
        <w:jc w:val="both"/>
        <w:rPr>
          <w:rFonts w:ascii="Calibri" w:hAnsi="Calibri" w:cs="Calibri"/>
          <w:sz w:val="20"/>
          <w:szCs w:val="20"/>
        </w:rPr>
      </w:pPr>
    </w:p>
    <w:p w14:paraId="2062063C" w14:textId="77777777" w:rsidR="00111DB4" w:rsidRPr="00111DB4" w:rsidRDefault="00111DB4" w:rsidP="00111DB4">
      <w:pPr>
        <w:tabs>
          <w:tab w:val="left" w:pos="1507"/>
        </w:tabs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092C9398" w14:textId="77777777" w:rsidR="00111DB4" w:rsidRDefault="00111DB4" w:rsidP="00111DB4">
      <w:pPr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3BF3594A" w14:textId="77777777" w:rsidR="005E5226" w:rsidRPr="005E5226" w:rsidRDefault="005E5226" w:rsidP="005E5226">
      <w:pPr>
        <w:tabs>
          <w:tab w:val="left" w:pos="3532"/>
        </w:tabs>
      </w:pPr>
    </w:p>
    <w:sectPr w:rsidR="005E5226" w:rsidRPr="005E5226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7348C" w14:textId="77777777" w:rsidR="00233FEF" w:rsidRDefault="00233FEF" w:rsidP="00931DCA">
      <w:r>
        <w:separator/>
      </w:r>
    </w:p>
  </w:endnote>
  <w:endnote w:type="continuationSeparator" w:id="0">
    <w:p w14:paraId="1C61CF95" w14:textId="77777777" w:rsidR="00233FEF" w:rsidRDefault="00233FEF" w:rsidP="009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33150110"/>
      <w:docPartObj>
        <w:docPartGallery w:val="Page Numbers (Bottom of Page)"/>
        <w:docPartUnique/>
      </w:docPartObj>
    </w:sdtPr>
    <w:sdtContent>
      <w:p w14:paraId="3BDC5B3B" w14:textId="4025FB72" w:rsidR="00976748" w:rsidRDefault="00976748" w:rsidP="00213BF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7F0CC5A" w14:textId="77777777" w:rsidR="00976748" w:rsidRDefault="00976748" w:rsidP="009767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53808670"/>
      <w:docPartObj>
        <w:docPartGallery w:val="Page Numbers (Bottom of Page)"/>
        <w:docPartUnique/>
      </w:docPartObj>
    </w:sdtPr>
    <w:sdtContent>
      <w:p w14:paraId="50E7CCBC" w14:textId="5348AF81" w:rsidR="00976748" w:rsidRDefault="00976748" w:rsidP="00213BF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F2F9EB2" w14:textId="77777777" w:rsidR="00976748" w:rsidRDefault="00976748" w:rsidP="009767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BE05" w14:textId="77777777" w:rsidR="00233FEF" w:rsidRDefault="00233FEF" w:rsidP="00931DCA">
      <w:r>
        <w:separator/>
      </w:r>
    </w:p>
  </w:footnote>
  <w:footnote w:type="continuationSeparator" w:id="0">
    <w:p w14:paraId="6C041479" w14:textId="77777777" w:rsidR="00233FEF" w:rsidRDefault="00233FEF" w:rsidP="0093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AF9"/>
    <w:multiLevelType w:val="hybridMultilevel"/>
    <w:tmpl w:val="A066040E"/>
    <w:lvl w:ilvl="0" w:tplc="C562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EFA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44B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23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A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CE5F71"/>
    <w:multiLevelType w:val="hybridMultilevel"/>
    <w:tmpl w:val="98E88540"/>
    <w:lvl w:ilvl="0" w:tplc="490E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E7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E9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E4A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2A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83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85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C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B366A9"/>
    <w:multiLevelType w:val="hybridMultilevel"/>
    <w:tmpl w:val="48DA53A0"/>
    <w:lvl w:ilvl="0" w:tplc="9AA2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B5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C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6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9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2E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6C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A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E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B37C2"/>
    <w:multiLevelType w:val="hybridMultilevel"/>
    <w:tmpl w:val="72106EB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4939"/>
    <w:multiLevelType w:val="hybridMultilevel"/>
    <w:tmpl w:val="F2C29796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46D510D2"/>
    <w:multiLevelType w:val="hybridMultilevel"/>
    <w:tmpl w:val="FDE6FD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134910"/>
    <w:multiLevelType w:val="hybridMultilevel"/>
    <w:tmpl w:val="71B8FE2E"/>
    <w:lvl w:ilvl="0" w:tplc="D11C9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806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876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CBF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2EDC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E68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673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CEAC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1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990E53"/>
    <w:multiLevelType w:val="hybridMultilevel"/>
    <w:tmpl w:val="53C4F9E8"/>
    <w:lvl w:ilvl="0" w:tplc="F1107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6E7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2B4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CE6F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4DF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8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E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62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2A6F56"/>
    <w:multiLevelType w:val="hybridMultilevel"/>
    <w:tmpl w:val="F24E422C"/>
    <w:lvl w:ilvl="0" w:tplc="A2144B6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D70AD"/>
    <w:multiLevelType w:val="hybridMultilevel"/>
    <w:tmpl w:val="04AEF8FC"/>
    <w:lvl w:ilvl="0" w:tplc="1A709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21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9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641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055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6A5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8F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CB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E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FD4473"/>
    <w:multiLevelType w:val="hybridMultilevel"/>
    <w:tmpl w:val="870A0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1B09"/>
    <w:multiLevelType w:val="hybridMultilevel"/>
    <w:tmpl w:val="112C2E8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5623"/>
    <w:multiLevelType w:val="hybridMultilevel"/>
    <w:tmpl w:val="8EFA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17B50"/>
    <w:multiLevelType w:val="hybridMultilevel"/>
    <w:tmpl w:val="DC564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85307"/>
    <w:multiLevelType w:val="hybridMultilevel"/>
    <w:tmpl w:val="01CE97A2"/>
    <w:lvl w:ilvl="0" w:tplc="8B70D6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808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B2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DCA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A8D0A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6FE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9D5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B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1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9E74C7"/>
    <w:multiLevelType w:val="hybridMultilevel"/>
    <w:tmpl w:val="4CB071F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4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92"/>
    <w:rsid w:val="00111DB4"/>
    <w:rsid w:val="00117930"/>
    <w:rsid w:val="00130FE3"/>
    <w:rsid w:val="00135F86"/>
    <w:rsid w:val="00154F7D"/>
    <w:rsid w:val="00173F8C"/>
    <w:rsid w:val="00216963"/>
    <w:rsid w:val="00233FEF"/>
    <w:rsid w:val="00251A44"/>
    <w:rsid w:val="002B56C5"/>
    <w:rsid w:val="002D2CB4"/>
    <w:rsid w:val="002F4245"/>
    <w:rsid w:val="003066D2"/>
    <w:rsid w:val="00327179"/>
    <w:rsid w:val="00336599"/>
    <w:rsid w:val="0038297D"/>
    <w:rsid w:val="003C61A6"/>
    <w:rsid w:val="004722A1"/>
    <w:rsid w:val="004B103A"/>
    <w:rsid w:val="00577A1F"/>
    <w:rsid w:val="00587BCA"/>
    <w:rsid w:val="005E5226"/>
    <w:rsid w:val="00613AE7"/>
    <w:rsid w:val="006268BB"/>
    <w:rsid w:val="00704C92"/>
    <w:rsid w:val="007378CA"/>
    <w:rsid w:val="007F0673"/>
    <w:rsid w:val="008438FE"/>
    <w:rsid w:val="00903CB9"/>
    <w:rsid w:val="00931DCA"/>
    <w:rsid w:val="009420FC"/>
    <w:rsid w:val="009636F4"/>
    <w:rsid w:val="00976748"/>
    <w:rsid w:val="0098461F"/>
    <w:rsid w:val="009C284A"/>
    <w:rsid w:val="00A4514A"/>
    <w:rsid w:val="00AB197D"/>
    <w:rsid w:val="00AE263B"/>
    <w:rsid w:val="00BC519B"/>
    <w:rsid w:val="00C12038"/>
    <w:rsid w:val="00C75AEC"/>
    <w:rsid w:val="00CB698C"/>
    <w:rsid w:val="00CF130B"/>
    <w:rsid w:val="00D90C09"/>
    <w:rsid w:val="00E740F4"/>
    <w:rsid w:val="00E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686EC"/>
  <w15:chartTrackingRefBased/>
  <w15:docId w15:val="{F33FFADF-15A1-C247-AAD5-2AB3D6AE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F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36F4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36F4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636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6F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31DCA"/>
    <w:rPr>
      <w:rFonts w:asciiTheme="minorHAnsi" w:eastAsiaTheme="minorEastAsia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31DCA"/>
    <w:rPr>
      <w:rFonts w:eastAsiaTheme="minorEastAsia"/>
    </w:rPr>
  </w:style>
  <w:style w:type="character" w:styleId="Refdenotaderodap">
    <w:name w:val="footnote reference"/>
    <w:basedOn w:val="Fontepargpadro"/>
    <w:uiPriority w:val="99"/>
    <w:unhideWhenUsed/>
    <w:rsid w:val="00931DC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5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5226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976748"/>
  </w:style>
  <w:style w:type="paragraph" w:styleId="NormalWeb">
    <w:name w:val="Normal (Web)"/>
    <w:basedOn w:val="Normal"/>
    <w:uiPriority w:val="99"/>
    <w:unhideWhenUsed/>
    <w:rsid w:val="00216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rigo.goyenasoares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2404</Words>
  <Characters>12983</Characters>
  <Application>Microsoft Office Word</Application>
  <DocSecurity>0</DocSecurity>
  <Lines>108</Lines>
  <Paragraphs>30</Paragraphs>
  <ScaleCrop>false</ScaleCrop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16</cp:revision>
  <dcterms:created xsi:type="dcterms:W3CDTF">2021-06-17T12:11:00Z</dcterms:created>
  <dcterms:modified xsi:type="dcterms:W3CDTF">2021-06-17T13:39:00Z</dcterms:modified>
</cp:coreProperties>
</file>