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04124" w14:textId="20034B30" w:rsidR="006B47F1" w:rsidRPr="00972B5A" w:rsidRDefault="006B47F1" w:rsidP="006B4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sz w:val="18"/>
          <w:szCs w:val="18"/>
        </w:rPr>
      </w:pPr>
      <w:r w:rsidRPr="00972B5A">
        <w:rPr>
          <w:rFonts w:ascii="Helvetica" w:eastAsia="Times New Roman" w:hAnsi="Helvetica" w:cs="Helvetica"/>
          <w:b/>
          <w:bCs/>
          <w:sz w:val="18"/>
          <w:szCs w:val="18"/>
        </w:rPr>
        <w:t>1-</w:t>
      </w:r>
    </w:p>
    <w:p w14:paraId="53F126C1" w14:textId="46AEEBBF" w:rsidR="006B47F1" w:rsidRDefault="006B47F1" w:rsidP="006B4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640243">
        <w:rPr>
          <w:rFonts w:ascii="Helvetica" w:eastAsia="Times New Roman" w:hAnsi="Helvetica" w:cs="Helvetica"/>
          <w:b/>
          <w:bCs/>
          <w:sz w:val="18"/>
          <w:szCs w:val="18"/>
        </w:rPr>
        <w:t>a)</w:t>
      </w:r>
      <w:r w:rsidRPr="006B47F1">
        <w:rPr>
          <w:rFonts w:ascii="Helvetica" w:eastAsia="Times New Roman" w:hAnsi="Helvetica" w:cs="Helvetica"/>
          <w:sz w:val="18"/>
          <w:szCs w:val="18"/>
        </w:rPr>
        <w:t xml:space="preserve"> Em que medida a publicidade nas arbitragens que envolve o Estado pode ser exigida? A quem incumbe dar publicidade e quais atos do processo arbitral devem ser considerados públicos? As partes combinar sigilo?</w:t>
      </w:r>
      <w:r>
        <w:rPr>
          <w:rFonts w:ascii="Helvetica" w:eastAsia="Times New Roman" w:hAnsi="Helvetica" w:cs="Helvetica"/>
          <w:sz w:val="18"/>
          <w:szCs w:val="18"/>
        </w:rPr>
        <w:t xml:space="preserve"> </w:t>
      </w:r>
      <w:r w:rsidRPr="00972B5A">
        <w:rPr>
          <w:rFonts w:ascii="Helvetica" w:eastAsia="Times New Roman" w:hAnsi="Helvetica" w:cs="Helvetica"/>
          <w:b/>
          <w:bCs/>
          <w:sz w:val="18"/>
          <w:szCs w:val="18"/>
        </w:rPr>
        <w:t>(1,0)</w:t>
      </w:r>
    </w:p>
    <w:p w14:paraId="3F96D095" w14:textId="487AFF27" w:rsidR="006B47F1" w:rsidRDefault="006B47F1" w:rsidP="006B4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972B5A">
        <w:rPr>
          <w:rFonts w:ascii="Helvetica" w:eastAsia="Times New Roman" w:hAnsi="Helvetica" w:cs="Helvetica"/>
          <w:sz w:val="18"/>
          <w:szCs w:val="18"/>
          <w:u w:val="single"/>
        </w:rPr>
        <w:t>RESPOSTA</w:t>
      </w:r>
      <w:r>
        <w:rPr>
          <w:rFonts w:ascii="Helvetica" w:eastAsia="Times New Roman" w:hAnsi="Helvetica" w:cs="Helvetica"/>
          <w:sz w:val="18"/>
          <w:szCs w:val="18"/>
        </w:rPr>
        <w:t>:</w:t>
      </w:r>
    </w:p>
    <w:p w14:paraId="319B67F7" w14:textId="77777777" w:rsidR="006B47F1" w:rsidRPr="006B47F1" w:rsidRDefault="006B47F1" w:rsidP="006B4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</w:p>
    <w:p w14:paraId="6D807793" w14:textId="13B0B7F1" w:rsidR="006B47F1" w:rsidRDefault="006B47F1" w:rsidP="006B4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640243">
        <w:rPr>
          <w:rFonts w:ascii="Helvetica" w:eastAsia="Times New Roman" w:hAnsi="Helvetica" w:cs="Helvetica"/>
          <w:b/>
          <w:bCs/>
          <w:sz w:val="18"/>
          <w:szCs w:val="18"/>
        </w:rPr>
        <w:t>b)</w:t>
      </w:r>
      <w:r w:rsidRPr="006B47F1">
        <w:rPr>
          <w:rFonts w:ascii="Helvetica" w:eastAsia="Times New Roman" w:hAnsi="Helvetica" w:cs="Helvetica"/>
          <w:sz w:val="18"/>
          <w:szCs w:val="18"/>
        </w:rPr>
        <w:t xml:space="preserve"> Explique qual a relação existente entre a litigância excessiva (ou irresponsável) do Estado e as garantias concedidas aos advogados públicos.</w:t>
      </w:r>
      <w:r>
        <w:rPr>
          <w:rFonts w:ascii="Helvetica" w:eastAsia="Times New Roman" w:hAnsi="Helvetica" w:cs="Helvetica"/>
          <w:sz w:val="18"/>
          <w:szCs w:val="18"/>
        </w:rPr>
        <w:t xml:space="preserve"> </w:t>
      </w:r>
      <w:r w:rsidRPr="006B47F1">
        <w:rPr>
          <w:rFonts w:ascii="Helvetica" w:eastAsia="Times New Roman" w:hAnsi="Helvetica" w:cs="Helvetica"/>
          <w:sz w:val="18"/>
          <w:szCs w:val="18"/>
        </w:rPr>
        <w:t>Cite, ao menos, um exemplo.</w:t>
      </w:r>
      <w:r>
        <w:rPr>
          <w:rFonts w:ascii="Helvetica" w:eastAsia="Times New Roman" w:hAnsi="Helvetica" w:cs="Helvetica"/>
          <w:sz w:val="18"/>
          <w:szCs w:val="18"/>
        </w:rPr>
        <w:t xml:space="preserve"> </w:t>
      </w:r>
      <w:r w:rsidRPr="00972B5A">
        <w:rPr>
          <w:rFonts w:ascii="Helvetica" w:eastAsia="Times New Roman" w:hAnsi="Helvetica" w:cs="Helvetica"/>
          <w:b/>
          <w:bCs/>
          <w:sz w:val="18"/>
          <w:szCs w:val="18"/>
        </w:rPr>
        <w:t>(1,0)</w:t>
      </w:r>
    </w:p>
    <w:p w14:paraId="33033F30" w14:textId="77777777" w:rsidR="006B47F1" w:rsidRDefault="006B47F1" w:rsidP="006B4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972B5A">
        <w:rPr>
          <w:rFonts w:ascii="Helvetica" w:eastAsia="Times New Roman" w:hAnsi="Helvetica" w:cs="Helvetica"/>
          <w:sz w:val="18"/>
          <w:szCs w:val="18"/>
          <w:u w:val="single"/>
        </w:rPr>
        <w:t>RESPOSTA</w:t>
      </w:r>
      <w:r>
        <w:rPr>
          <w:rFonts w:ascii="Helvetica" w:eastAsia="Times New Roman" w:hAnsi="Helvetica" w:cs="Helvetica"/>
          <w:sz w:val="18"/>
          <w:szCs w:val="18"/>
        </w:rPr>
        <w:t>:</w:t>
      </w:r>
    </w:p>
    <w:p w14:paraId="5C6A89FC" w14:textId="77777777" w:rsidR="006B47F1" w:rsidRDefault="006B47F1" w:rsidP="006B4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</w:p>
    <w:p w14:paraId="519DC005" w14:textId="1E9BDC99" w:rsidR="006B47F1" w:rsidRPr="00972B5A" w:rsidRDefault="006B47F1" w:rsidP="006B4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sz w:val="18"/>
          <w:szCs w:val="18"/>
        </w:rPr>
      </w:pPr>
      <w:r w:rsidRPr="00972B5A">
        <w:rPr>
          <w:rFonts w:ascii="Helvetica" w:eastAsia="Times New Roman" w:hAnsi="Helvetica" w:cs="Helvetica"/>
          <w:b/>
          <w:bCs/>
          <w:sz w:val="18"/>
          <w:szCs w:val="18"/>
        </w:rPr>
        <w:t xml:space="preserve">2- </w:t>
      </w:r>
    </w:p>
    <w:p w14:paraId="4C48C40F" w14:textId="3E5157B0" w:rsidR="006B47F1" w:rsidRPr="006B47F1" w:rsidRDefault="006B47F1" w:rsidP="006B4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6B47F1">
        <w:rPr>
          <w:rFonts w:ascii="Helvetica" w:eastAsia="Times New Roman" w:hAnsi="Helvetica" w:cs="Helvetica"/>
          <w:sz w:val="18"/>
          <w:szCs w:val="18"/>
        </w:rPr>
        <w:t>O município de Adrenalina do Sudoeste editou lei pela qual extensa área rural de seu território foi transformada em urbana. O Ministério Público do Estado ajuizou perante o Tribunal de Justiça – órgão com competência originária para tanto – uma ação direta de inconstitucionalidade, por entender que o processo legislativo não dera atendimento às exigências de consultas/audiências públicas, dentre outros vícios. A medida liminar para suspensão da vigência da lei não foi deferida e ela vigorou por dez anos, período durante o qual a Prefeitura acabou por licenciar vários empreendimentos imobiliários na área, alguns dos quais iniciados e já em fase de implementação. Ao final, contudo, a demanda foi julgada procedente e reconhecida a inconstitucionalidade da lei – por decisão do Plenário do Tribunal, isto é, do Órgão especial. Via embargos de declaração, algumas das empresas imobiliárias, associações de moradores e outras instituições pretenderam houvesse modulação dos efeitos da declaração de inconstitucionalidade, para que os empreendimentos de que participaram ou nos quais tinham interesse fossem preservados. A modulação foi rejeitada, exceto em relação a um dos empreendimentos, porque nele se iniciara a construção de um grande hospital, que atenderia a demanda de saúde da região. Sem que o tema chegasse a instâncias superiores (recursos interpostos não admitidos), essa decisão transitou em julgado – trânsito que já vigora há um ano e onze meses, se considerada a data presente.</w:t>
      </w:r>
    </w:p>
    <w:p w14:paraId="1E965981" w14:textId="77777777" w:rsidR="006B47F1" w:rsidRPr="006B47F1" w:rsidRDefault="006B47F1" w:rsidP="006B4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6B47F1">
        <w:rPr>
          <w:rFonts w:ascii="Helvetica" w:eastAsia="Times New Roman" w:hAnsi="Helvetica" w:cs="Helvetica"/>
          <w:sz w:val="18"/>
          <w:szCs w:val="18"/>
        </w:rPr>
        <w:t>Durante o período de vigência da lei, algumas das empresas imobiliárias, diante da recusa da Prefeitura na concessão de licenças para empreendimentos (instada a tanto pelo Ministério Público), ajuizaram demandas individuais, para atacar o ato administrativo de negativa das licenças cabíveis. Nesses processos individuais a questão da constitucionalidade da lei foi discutida incidentalmente. Em alguns casos, o processo chegou ao STF via recurso extraordinário e lá se formou reiterado entendimento, por Turmas e pelo Plenário, de que não haveria inconstitucionalidade. Em alguns casos, por deficiências dos recursos interpostos, prevaleceu a decisão do TJSP, por diferentes Câmaras de Direito Público; e, nesse caso, houve decisões favoráveis às empresas e outras contrárias.</w:t>
      </w:r>
    </w:p>
    <w:p w14:paraId="08F46C7A" w14:textId="77777777" w:rsidR="006B47F1" w:rsidRPr="006B47F1" w:rsidRDefault="006B47F1" w:rsidP="006B4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6B47F1">
        <w:rPr>
          <w:rFonts w:ascii="Helvetica" w:eastAsia="Times New Roman" w:hAnsi="Helvetica" w:cs="Helvetica"/>
          <w:sz w:val="18"/>
          <w:szCs w:val="18"/>
        </w:rPr>
        <w:t>Nesse contexto, indaga-se: </w:t>
      </w:r>
    </w:p>
    <w:p w14:paraId="3907E103" w14:textId="1B951E53" w:rsidR="006B47F1" w:rsidRPr="006B47F1" w:rsidRDefault="006B47F1" w:rsidP="008A1A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6B47F1">
        <w:rPr>
          <w:rFonts w:ascii="Calibri" w:eastAsia="Times New Roman" w:hAnsi="Calibri" w:cs="Calibri"/>
        </w:rPr>
        <w:t xml:space="preserve">Nos casos de processo individual, com decisão de mérito favorável à empresa com trânsito em julgado há mais de dois anos, que solução deve prevalecer? </w:t>
      </w:r>
      <w:r w:rsidRPr="00972B5A">
        <w:rPr>
          <w:rFonts w:ascii="Calibri" w:eastAsia="Times New Roman" w:hAnsi="Calibri" w:cs="Calibri"/>
          <w:b/>
          <w:bCs/>
        </w:rPr>
        <w:t>(2,0)</w:t>
      </w:r>
    </w:p>
    <w:p w14:paraId="40CE6D95" w14:textId="77777777" w:rsidR="006B47F1" w:rsidRPr="006B47F1" w:rsidRDefault="006B47F1" w:rsidP="006B47F1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972B5A">
        <w:rPr>
          <w:rFonts w:ascii="Helvetica" w:eastAsia="Times New Roman" w:hAnsi="Helvetica" w:cs="Helvetica"/>
          <w:sz w:val="18"/>
          <w:szCs w:val="18"/>
          <w:u w:val="single"/>
        </w:rPr>
        <w:t>RESPOSTA</w:t>
      </w:r>
      <w:r w:rsidRPr="006B47F1">
        <w:rPr>
          <w:rFonts w:ascii="Helvetica" w:eastAsia="Times New Roman" w:hAnsi="Helvetica" w:cs="Helvetica"/>
          <w:sz w:val="18"/>
          <w:szCs w:val="18"/>
        </w:rPr>
        <w:t>:</w:t>
      </w:r>
    </w:p>
    <w:p w14:paraId="20C1A856" w14:textId="77777777" w:rsidR="006B47F1" w:rsidRPr="006B47F1" w:rsidRDefault="006B47F1" w:rsidP="006B47F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</w:rPr>
      </w:pPr>
    </w:p>
    <w:p w14:paraId="21139F19" w14:textId="432FBF16" w:rsidR="006B47F1" w:rsidRDefault="006B47F1" w:rsidP="006B47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6B47F1">
        <w:rPr>
          <w:rFonts w:ascii="Calibri" w:eastAsia="Times New Roman" w:hAnsi="Calibri" w:cs="Calibri"/>
        </w:rPr>
        <w:t>Suposto que haja ação rescisória, perante o TJSP, contra decisões proferidas em processo individual favoravelmente às empresas, que solução deveria prevalecer?</w:t>
      </w:r>
      <w:r>
        <w:rPr>
          <w:rFonts w:ascii="Calibri" w:eastAsia="Times New Roman" w:hAnsi="Calibri" w:cs="Calibri"/>
        </w:rPr>
        <w:t xml:space="preserve"> </w:t>
      </w:r>
      <w:r w:rsidRPr="00972B5A">
        <w:rPr>
          <w:rFonts w:ascii="Calibri" w:eastAsia="Times New Roman" w:hAnsi="Calibri" w:cs="Calibri"/>
          <w:b/>
          <w:bCs/>
        </w:rPr>
        <w:t>(2,0)</w:t>
      </w:r>
    </w:p>
    <w:p w14:paraId="007211E6" w14:textId="77777777" w:rsidR="006B47F1" w:rsidRDefault="006B47F1" w:rsidP="006B47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18"/>
          <w:szCs w:val="18"/>
        </w:rPr>
      </w:pPr>
      <w:r w:rsidRPr="00972B5A">
        <w:rPr>
          <w:rFonts w:ascii="Helvetica" w:eastAsia="Times New Roman" w:hAnsi="Helvetica" w:cs="Helvetica"/>
          <w:sz w:val="18"/>
          <w:szCs w:val="18"/>
          <w:u w:val="single"/>
        </w:rPr>
        <w:t>RESPOSTA</w:t>
      </w:r>
      <w:r>
        <w:rPr>
          <w:rFonts w:ascii="Helvetica" w:eastAsia="Times New Roman" w:hAnsi="Helvetica" w:cs="Helvetica"/>
          <w:sz w:val="18"/>
          <w:szCs w:val="18"/>
        </w:rPr>
        <w:t>:</w:t>
      </w:r>
    </w:p>
    <w:p w14:paraId="1E388D77" w14:textId="7A97CEE4" w:rsidR="006B47F1" w:rsidRDefault="006B47F1" w:rsidP="006B47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</w:p>
    <w:p w14:paraId="2CE8F7AA" w14:textId="77777777" w:rsidR="006B47F1" w:rsidRPr="006B47F1" w:rsidRDefault="006B47F1" w:rsidP="006B47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</w:p>
    <w:p w14:paraId="08CB4F43" w14:textId="1ED11369" w:rsidR="006B47F1" w:rsidRDefault="006B47F1" w:rsidP="006B47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6B47F1">
        <w:rPr>
          <w:rFonts w:ascii="Calibri" w:eastAsia="Times New Roman" w:hAnsi="Calibri" w:cs="Calibri"/>
        </w:rPr>
        <w:t>No caso de ação rescisória, perante o TJSP, contra decisões proferidas em processo individual desfavoravelmente às empresas, que solução deveria prevalecer?</w:t>
      </w:r>
      <w:r>
        <w:rPr>
          <w:rFonts w:ascii="Calibri" w:eastAsia="Times New Roman" w:hAnsi="Calibri" w:cs="Calibri"/>
        </w:rPr>
        <w:t xml:space="preserve"> </w:t>
      </w:r>
      <w:r w:rsidRPr="00972B5A">
        <w:rPr>
          <w:rFonts w:ascii="Calibri" w:eastAsia="Times New Roman" w:hAnsi="Calibri" w:cs="Calibri"/>
          <w:b/>
          <w:bCs/>
        </w:rPr>
        <w:t>(2,0)</w:t>
      </w:r>
    </w:p>
    <w:p w14:paraId="74746F4A" w14:textId="77777777" w:rsidR="006B47F1" w:rsidRPr="006B47F1" w:rsidRDefault="006B47F1" w:rsidP="006B47F1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972B5A">
        <w:rPr>
          <w:rFonts w:ascii="Helvetica" w:eastAsia="Times New Roman" w:hAnsi="Helvetica" w:cs="Helvetica"/>
          <w:sz w:val="18"/>
          <w:szCs w:val="18"/>
          <w:u w:val="single"/>
        </w:rPr>
        <w:t>RESPOSTA</w:t>
      </w:r>
      <w:r w:rsidRPr="006B47F1">
        <w:rPr>
          <w:rFonts w:ascii="Helvetica" w:eastAsia="Times New Roman" w:hAnsi="Helvetica" w:cs="Helvetica"/>
          <w:sz w:val="18"/>
          <w:szCs w:val="18"/>
        </w:rPr>
        <w:t>:</w:t>
      </w:r>
    </w:p>
    <w:p w14:paraId="748D86AC" w14:textId="77777777" w:rsidR="006B47F1" w:rsidRPr="006B47F1" w:rsidRDefault="006B47F1" w:rsidP="006B47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</w:p>
    <w:p w14:paraId="7AAC7442" w14:textId="1B0BEC4F" w:rsidR="006B47F1" w:rsidRPr="006B47F1" w:rsidRDefault="006B47F1" w:rsidP="006B47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6B47F1">
        <w:rPr>
          <w:rFonts w:ascii="Calibri" w:eastAsia="Times New Roman" w:hAnsi="Calibri" w:cs="Calibri"/>
        </w:rPr>
        <w:t>Nos casos referidos nas letras “b” e “c”, seria possível invocar eventual modulação de efeitos, tendo em vista a jurisprudência que se formou perante o STF, para preservar os direitos das empresas aos empreendimentos?</w:t>
      </w:r>
      <w:r>
        <w:rPr>
          <w:rFonts w:ascii="Calibri" w:eastAsia="Times New Roman" w:hAnsi="Calibri" w:cs="Calibri"/>
        </w:rPr>
        <w:t xml:space="preserve"> </w:t>
      </w:r>
      <w:r w:rsidRPr="00972B5A">
        <w:rPr>
          <w:rFonts w:ascii="Calibri" w:eastAsia="Times New Roman" w:hAnsi="Calibri" w:cs="Calibri"/>
          <w:b/>
          <w:bCs/>
        </w:rPr>
        <w:t>(2,0)</w:t>
      </w:r>
    </w:p>
    <w:p w14:paraId="375B396B" w14:textId="77777777" w:rsidR="006B47F1" w:rsidRPr="006B47F1" w:rsidRDefault="006B47F1" w:rsidP="006B47F1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972B5A">
        <w:rPr>
          <w:rFonts w:ascii="Helvetica" w:eastAsia="Times New Roman" w:hAnsi="Helvetica" w:cs="Helvetica"/>
          <w:sz w:val="18"/>
          <w:szCs w:val="18"/>
          <w:u w:val="single"/>
        </w:rPr>
        <w:t>RESPOSTA</w:t>
      </w:r>
      <w:r w:rsidRPr="006B47F1">
        <w:rPr>
          <w:rFonts w:ascii="Helvetica" w:eastAsia="Times New Roman" w:hAnsi="Helvetica" w:cs="Helvetica"/>
          <w:sz w:val="18"/>
          <w:szCs w:val="18"/>
        </w:rPr>
        <w:t>:</w:t>
      </w:r>
    </w:p>
    <w:p w14:paraId="7FF00E22" w14:textId="77777777" w:rsidR="006B47F1" w:rsidRDefault="006B47F1"/>
    <w:sectPr w:rsidR="006B47F1" w:rsidSect="00972B5A">
      <w:headerReference w:type="default" r:id="rId7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6431C" w14:textId="77777777" w:rsidR="00026EA3" w:rsidRDefault="00026EA3" w:rsidP="00972B5A">
      <w:pPr>
        <w:spacing w:after="0" w:line="240" w:lineRule="auto"/>
      </w:pPr>
      <w:r>
        <w:separator/>
      </w:r>
    </w:p>
  </w:endnote>
  <w:endnote w:type="continuationSeparator" w:id="0">
    <w:p w14:paraId="096437A0" w14:textId="77777777" w:rsidR="00026EA3" w:rsidRDefault="00026EA3" w:rsidP="0097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DE902" w14:textId="77777777" w:rsidR="00026EA3" w:rsidRDefault="00026EA3" w:rsidP="00972B5A">
      <w:pPr>
        <w:spacing w:after="0" w:line="240" w:lineRule="auto"/>
      </w:pPr>
      <w:r>
        <w:separator/>
      </w:r>
    </w:p>
  </w:footnote>
  <w:footnote w:type="continuationSeparator" w:id="0">
    <w:p w14:paraId="39EEC7BA" w14:textId="77777777" w:rsidR="00026EA3" w:rsidRDefault="00026EA3" w:rsidP="0097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485B8" w14:textId="20F5E054" w:rsidR="00972B5A" w:rsidRPr="00F07A79" w:rsidRDefault="00972B5A">
    <w:pPr>
      <w:pStyle w:val="Cabealho"/>
      <w:rPr>
        <w:b/>
        <w:bCs/>
      </w:rPr>
    </w:pPr>
    <w:r w:rsidRPr="00F07A79">
      <w:rPr>
        <w:b/>
        <w:bCs/>
      </w:rPr>
      <w:t>PODER PÚBLICO EM JUÍZO</w:t>
    </w:r>
    <w:r w:rsidR="00A865D1" w:rsidRPr="00F07A79">
      <w:rPr>
        <w:b/>
        <w:bCs/>
      </w:rPr>
      <w:t xml:space="preserve"> (2020)</w:t>
    </w:r>
    <w:r w:rsidRPr="00F07A79">
      <w:rPr>
        <w:b/>
        <w:bCs/>
      </w:rPr>
      <w:t xml:space="preserve"> – AVALIAÇÃO SUBSTITUTIVA </w:t>
    </w:r>
  </w:p>
  <w:p w14:paraId="53B9C308" w14:textId="0115352E" w:rsidR="00972B5A" w:rsidRPr="00F07A79" w:rsidRDefault="00972B5A">
    <w:pPr>
      <w:pStyle w:val="Cabealho"/>
      <w:rPr>
        <w:b/>
        <w:bCs/>
      </w:rPr>
    </w:pPr>
    <w:r w:rsidRPr="00F07A79">
      <w:rPr>
        <w:b/>
        <w:bCs/>
      </w:rPr>
      <w:t>NOME: *; Nº USP: *; E-MAIL: *</w:t>
    </w:r>
  </w:p>
  <w:p w14:paraId="63AFB8F5" w14:textId="393B0AA1" w:rsidR="00620711" w:rsidRPr="00620711" w:rsidRDefault="00620711" w:rsidP="00620711">
    <w:pPr>
      <w:shd w:val="clear" w:color="auto" w:fill="FFFFFF"/>
      <w:spacing w:before="100" w:beforeAutospacing="1" w:after="100" w:afterAutospacing="1" w:line="240" w:lineRule="auto"/>
      <w:jc w:val="both"/>
      <w:rPr>
        <w:rFonts w:ascii="Helvetica" w:eastAsia="Times New Roman" w:hAnsi="Helvetica" w:cs="Helvetica"/>
        <w:b/>
        <w:bCs/>
        <w:color w:val="FF0000"/>
        <w:sz w:val="18"/>
        <w:szCs w:val="18"/>
        <w:u w:val="single"/>
      </w:rPr>
    </w:pPr>
    <w:r w:rsidRPr="00620711">
      <w:rPr>
        <w:rFonts w:ascii="Helvetica" w:eastAsia="Times New Roman" w:hAnsi="Helvetica" w:cs="Helvetica"/>
        <w:b/>
        <w:bCs/>
        <w:color w:val="FF0000"/>
        <w:sz w:val="18"/>
        <w:szCs w:val="18"/>
        <w:u w:val="single"/>
      </w:rPr>
      <w:t>TÉRMINO: 20</w:t>
    </w:r>
    <w:r w:rsidR="004B4B56">
      <w:rPr>
        <w:rFonts w:ascii="Helvetica" w:eastAsia="Times New Roman" w:hAnsi="Helvetica" w:cs="Helvetica"/>
        <w:b/>
        <w:bCs/>
        <w:color w:val="FF0000"/>
        <w:sz w:val="18"/>
        <w:szCs w:val="18"/>
        <w:u w:val="single"/>
      </w:rPr>
      <w:t>h</w:t>
    </w:r>
    <w:r w:rsidRPr="00620711">
      <w:rPr>
        <w:rFonts w:ascii="Helvetica" w:eastAsia="Times New Roman" w:hAnsi="Helvetica" w:cs="Helvetica"/>
        <w:b/>
        <w:bCs/>
        <w:color w:val="FF0000"/>
        <w:sz w:val="18"/>
        <w:szCs w:val="18"/>
        <w:u w:val="single"/>
      </w:rPr>
      <w:t>00</w:t>
    </w:r>
  </w:p>
  <w:p w14:paraId="25A5C628" w14:textId="77777777" w:rsidR="00620711" w:rsidRDefault="00620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E71EC"/>
    <w:multiLevelType w:val="multilevel"/>
    <w:tmpl w:val="97BA3E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F1"/>
    <w:rsid w:val="00026EA3"/>
    <w:rsid w:val="00054080"/>
    <w:rsid w:val="004B4B56"/>
    <w:rsid w:val="00506E3B"/>
    <w:rsid w:val="00545E5E"/>
    <w:rsid w:val="00620711"/>
    <w:rsid w:val="00640243"/>
    <w:rsid w:val="006B47F1"/>
    <w:rsid w:val="00972B5A"/>
    <w:rsid w:val="00A77E4D"/>
    <w:rsid w:val="00A81B3E"/>
    <w:rsid w:val="00A865D1"/>
    <w:rsid w:val="00F0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4FAEB"/>
  <w15:chartTrackingRefBased/>
  <w15:docId w15:val="{FC691EF4-A109-40F3-A9A3-30593C3C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B47F1"/>
  </w:style>
  <w:style w:type="paragraph" w:styleId="PargrafodaLista">
    <w:name w:val="List Paragraph"/>
    <w:basedOn w:val="Normal"/>
    <w:uiPriority w:val="34"/>
    <w:qFormat/>
    <w:rsid w:val="006B47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72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2B5A"/>
  </w:style>
  <w:style w:type="paragraph" w:styleId="Rodap">
    <w:name w:val="footer"/>
    <w:basedOn w:val="Normal"/>
    <w:link w:val="RodapChar"/>
    <w:uiPriority w:val="99"/>
    <w:unhideWhenUsed/>
    <w:rsid w:val="00972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3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1097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S.</dc:creator>
  <cp:keywords/>
  <dc:description/>
  <cp:lastModifiedBy>Matheus S.</cp:lastModifiedBy>
  <cp:revision>8</cp:revision>
  <dcterms:created xsi:type="dcterms:W3CDTF">2020-12-09T14:37:00Z</dcterms:created>
  <dcterms:modified xsi:type="dcterms:W3CDTF">2020-12-09T14:52:00Z</dcterms:modified>
</cp:coreProperties>
</file>