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2C" w:rsidRPr="0077092C" w:rsidRDefault="0077092C" w:rsidP="0077092C">
      <w:pPr>
        <w:shd w:val="clear" w:color="auto" w:fill="FFFFFF"/>
        <w:spacing w:line="360" w:lineRule="auto"/>
        <w:jc w:val="center"/>
        <w:rPr>
          <w:smallCaps/>
          <w:noProof w:val="0"/>
          <w:sz w:val="32"/>
          <w:szCs w:val="32"/>
        </w:rPr>
      </w:pPr>
      <w:r w:rsidRPr="0077092C">
        <w:rPr>
          <w:smallCaps/>
          <w:noProof w:val="0"/>
          <w:sz w:val="32"/>
          <w:szCs w:val="32"/>
        </w:rPr>
        <w:t>IEL – II, 2020</w:t>
      </w:r>
    </w:p>
    <w:p w:rsid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2"/>
          <w:szCs w:val="32"/>
        </w:rPr>
      </w:pP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0"/>
          <w:szCs w:val="30"/>
        </w:rPr>
      </w:pPr>
      <w:r w:rsidRPr="0077092C">
        <w:rPr>
          <w:noProof w:val="0"/>
          <w:sz w:val="30"/>
          <w:szCs w:val="30"/>
        </w:rPr>
        <w:t>1ª Questão [valendo de 0,0 (zero) a 7,0].</w:t>
      </w:r>
    </w:p>
    <w:p w:rsidR="0077092C" w:rsidRPr="0077092C" w:rsidRDefault="0077092C" w:rsidP="0077092C">
      <w:pPr>
        <w:spacing w:line="360" w:lineRule="auto"/>
        <w:rPr>
          <w:noProof w:val="0"/>
          <w:color w:val="000000"/>
          <w:sz w:val="30"/>
          <w:szCs w:val="30"/>
        </w:rPr>
      </w:pPr>
      <w:r w:rsidRPr="0077092C">
        <w:rPr>
          <w:noProof w:val="0"/>
          <w:sz w:val="30"/>
          <w:szCs w:val="30"/>
        </w:rPr>
        <w:t xml:space="preserve">Extensão: </w:t>
      </w:r>
      <w:r w:rsidRPr="0077092C">
        <w:rPr>
          <w:noProof w:val="0"/>
          <w:color w:val="000000"/>
          <w:sz w:val="30"/>
          <w:szCs w:val="30"/>
        </w:rPr>
        <w:t>De duas a quatro laudas: Times New Roman, tamanho 12, espaçamento 1,5. (Extensão maior se houver citações longas.)</w:t>
      </w:r>
    </w:p>
    <w:p w:rsidR="0077092C" w:rsidRPr="0077092C" w:rsidRDefault="0077092C" w:rsidP="0077092C">
      <w:pPr>
        <w:spacing w:line="360" w:lineRule="auto"/>
        <w:rPr>
          <w:noProof w:val="0"/>
          <w:color w:val="000000"/>
          <w:sz w:val="30"/>
          <w:szCs w:val="30"/>
        </w:rPr>
      </w:pP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0"/>
          <w:szCs w:val="30"/>
        </w:rPr>
      </w:pPr>
      <w:r w:rsidRPr="0077092C">
        <w:rPr>
          <w:noProof w:val="0"/>
          <w:sz w:val="30"/>
          <w:szCs w:val="30"/>
        </w:rPr>
        <w:t xml:space="preserve">O Romance Picaresco e o Romance de Formação são considerados as principais contribuições da Espanha e da Alemanha para a história do romance ocidental. As afinidades entre esses dois subgêneros épicos foram ressaltadas diversas vezes na crítica literária. Wolfgang </w:t>
      </w:r>
      <w:proofErr w:type="spellStart"/>
      <w:r w:rsidRPr="0077092C">
        <w:rPr>
          <w:noProof w:val="0"/>
          <w:sz w:val="30"/>
          <w:szCs w:val="30"/>
        </w:rPr>
        <w:t>Kayser</w:t>
      </w:r>
      <w:proofErr w:type="spellEnd"/>
      <w:r w:rsidRPr="0077092C">
        <w:rPr>
          <w:noProof w:val="0"/>
          <w:sz w:val="30"/>
          <w:szCs w:val="30"/>
        </w:rPr>
        <w:t xml:space="preserve"> p. ex., em seu manual </w:t>
      </w:r>
      <w:r w:rsidRPr="0077092C">
        <w:rPr>
          <w:i/>
          <w:iCs/>
          <w:noProof w:val="0"/>
          <w:sz w:val="30"/>
          <w:szCs w:val="30"/>
        </w:rPr>
        <w:t>Análise e interpretação da obra literária</w:t>
      </w:r>
      <w:r w:rsidRPr="0077092C">
        <w:rPr>
          <w:noProof w:val="0"/>
          <w:sz w:val="30"/>
          <w:szCs w:val="30"/>
        </w:rPr>
        <w:t xml:space="preserve">, faz uma aproximação entre a novela picaresca e </w:t>
      </w:r>
      <w:r w:rsidRPr="0077092C">
        <w:rPr>
          <w:i/>
          <w:noProof w:val="0"/>
          <w:sz w:val="30"/>
          <w:szCs w:val="30"/>
        </w:rPr>
        <w:t>Os anos de aprendizado de Wilhelm Meister</w:t>
      </w:r>
      <w:r w:rsidRPr="0077092C">
        <w:rPr>
          <w:noProof w:val="0"/>
          <w:sz w:val="30"/>
          <w:szCs w:val="30"/>
        </w:rPr>
        <w:t xml:space="preserve"> a partir do tipo “romance de espaço”.</w:t>
      </w: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color w:val="000000"/>
          <w:sz w:val="30"/>
          <w:szCs w:val="30"/>
        </w:rPr>
      </w:pPr>
      <w:r w:rsidRPr="0077092C">
        <w:rPr>
          <w:noProof w:val="0"/>
          <w:sz w:val="30"/>
          <w:szCs w:val="30"/>
        </w:rPr>
        <w:t>Tomando por base um episódio do</w:t>
      </w:r>
      <w:r w:rsidRPr="0077092C">
        <w:rPr>
          <w:i/>
          <w:iCs/>
          <w:noProof w:val="0"/>
          <w:sz w:val="30"/>
          <w:szCs w:val="30"/>
        </w:rPr>
        <w:t> </w:t>
      </w:r>
      <w:proofErr w:type="spellStart"/>
      <w:r w:rsidRPr="0077092C">
        <w:rPr>
          <w:i/>
          <w:iCs/>
          <w:noProof w:val="0"/>
          <w:sz w:val="30"/>
          <w:szCs w:val="30"/>
        </w:rPr>
        <w:t>Lazarilho</w:t>
      </w:r>
      <w:proofErr w:type="spellEnd"/>
      <w:r w:rsidRPr="0077092C">
        <w:rPr>
          <w:i/>
          <w:iCs/>
          <w:noProof w:val="0"/>
          <w:sz w:val="30"/>
          <w:szCs w:val="30"/>
        </w:rPr>
        <w:t xml:space="preserve"> de </w:t>
      </w:r>
      <w:proofErr w:type="spellStart"/>
      <w:r w:rsidRPr="0077092C">
        <w:rPr>
          <w:i/>
          <w:iCs/>
          <w:noProof w:val="0"/>
          <w:sz w:val="30"/>
          <w:szCs w:val="30"/>
        </w:rPr>
        <w:t>Tormes</w:t>
      </w:r>
      <w:proofErr w:type="spellEnd"/>
      <w:r w:rsidRPr="0077092C">
        <w:rPr>
          <w:noProof w:val="0"/>
          <w:sz w:val="30"/>
          <w:szCs w:val="30"/>
        </w:rPr>
        <w:t xml:space="preserve"> (à sua livre escolha) e a “carta de formação” de Wilhelm Meister, no 3º capítulo do Livro V dos </w:t>
      </w:r>
      <w:r w:rsidRPr="0077092C">
        <w:rPr>
          <w:i/>
          <w:noProof w:val="0"/>
          <w:sz w:val="30"/>
          <w:szCs w:val="30"/>
        </w:rPr>
        <w:t>Anos de Aprendizado</w:t>
      </w:r>
      <w:r w:rsidRPr="0077092C">
        <w:rPr>
          <w:noProof w:val="0"/>
          <w:sz w:val="30"/>
          <w:szCs w:val="30"/>
        </w:rPr>
        <w:t xml:space="preserve">, comente as afinidades (mas também, se achar pertinente, as eventuais diferenças) entre esses dois tipos de romance, a </w:t>
      </w:r>
      <w:r w:rsidRPr="0077092C">
        <w:rPr>
          <w:i/>
          <w:noProof w:val="0"/>
          <w:sz w:val="30"/>
          <w:szCs w:val="30"/>
        </w:rPr>
        <w:t>Novela Picaresca</w:t>
      </w:r>
      <w:r w:rsidRPr="0077092C">
        <w:rPr>
          <w:noProof w:val="0"/>
          <w:sz w:val="30"/>
          <w:szCs w:val="30"/>
        </w:rPr>
        <w:t xml:space="preserve"> e o </w:t>
      </w:r>
      <w:r w:rsidRPr="0077092C">
        <w:rPr>
          <w:i/>
          <w:noProof w:val="0"/>
          <w:sz w:val="30"/>
          <w:szCs w:val="30"/>
        </w:rPr>
        <w:t>Bildungsroman</w:t>
      </w:r>
      <w:r w:rsidRPr="0077092C">
        <w:rPr>
          <w:noProof w:val="0"/>
          <w:sz w:val="30"/>
          <w:szCs w:val="30"/>
        </w:rPr>
        <w:t>.</w:t>
      </w:r>
      <w:r w:rsidRPr="0077092C">
        <w:rPr>
          <w:noProof w:val="0"/>
          <w:color w:val="000000"/>
          <w:sz w:val="30"/>
          <w:szCs w:val="30"/>
        </w:rPr>
        <w:t xml:space="preserve"> </w:t>
      </w: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0"/>
          <w:szCs w:val="30"/>
        </w:rPr>
      </w:pPr>
      <w:r w:rsidRPr="0077092C">
        <w:rPr>
          <w:noProof w:val="0"/>
          <w:color w:val="000000"/>
          <w:sz w:val="30"/>
          <w:szCs w:val="30"/>
        </w:rPr>
        <w:t xml:space="preserve">Também se achar pertinente, contemple em sua resposta as considerações que Walter Benjamin faz sobre o gênero “romance” no ensaio “O Narrador” – p. ex., ao apresentá-lo como “forma do desterro transcendental do homem”, conforme a expressão do Georg Lukács da </w:t>
      </w:r>
      <w:r w:rsidRPr="0077092C">
        <w:rPr>
          <w:i/>
          <w:noProof w:val="0"/>
          <w:color w:val="000000"/>
          <w:sz w:val="30"/>
          <w:szCs w:val="30"/>
        </w:rPr>
        <w:t>Teoria do Romance</w:t>
      </w:r>
      <w:r w:rsidRPr="0077092C">
        <w:rPr>
          <w:noProof w:val="0"/>
          <w:color w:val="000000"/>
          <w:sz w:val="30"/>
          <w:szCs w:val="30"/>
        </w:rPr>
        <w:t>. Tais considerações de W. Benjamin seriam válidas também para aqueles dois romances (</w:t>
      </w:r>
      <w:proofErr w:type="spellStart"/>
      <w:r w:rsidRPr="0077092C">
        <w:rPr>
          <w:i/>
          <w:iCs/>
          <w:noProof w:val="0"/>
          <w:sz w:val="30"/>
          <w:szCs w:val="30"/>
        </w:rPr>
        <w:t>Lazarilho</w:t>
      </w:r>
      <w:proofErr w:type="spellEnd"/>
      <w:r w:rsidRPr="0077092C">
        <w:rPr>
          <w:noProof w:val="0"/>
          <w:color w:val="000000"/>
          <w:sz w:val="30"/>
          <w:szCs w:val="30"/>
        </w:rPr>
        <w:t xml:space="preserve"> e </w:t>
      </w:r>
      <w:r w:rsidRPr="0077092C">
        <w:rPr>
          <w:i/>
          <w:noProof w:val="0"/>
          <w:sz w:val="30"/>
          <w:szCs w:val="30"/>
        </w:rPr>
        <w:t>Wilhelm Meister</w:t>
      </w:r>
      <w:r w:rsidRPr="0077092C">
        <w:rPr>
          <w:noProof w:val="0"/>
          <w:color w:val="000000"/>
          <w:sz w:val="30"/>
          <w:szCs w:val="30"/>
        </w:rPr>
        <w:t>)?</w:t>
      </w: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0"/>
          <w:szCs w:val="30"/>
        </w:rPr>
      </w:pP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2"/>
          <w:szCs w:val="32"/>
        </w:rPr>
      </w:pP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2"/>
          <w:szCs w:val="32"/>
        </w:rPr>
      </w:pPr>
      <w:r w:rsidRPr="0077092C">
        <w:rPr>
          <w:noProof w:val="0"/>
          <w:sz w:val="32"/>
          <w:szCs w:val="32"/>
        </w:rPr>
        <w:t>2ª [Questão (valendo de 0,0 (zero) a 3,0].</w:t>
      </w:r>
    </w:p>
    <w:p w:rsidR="0077092C" w:rsidRPr="0077092C" w:rsidRDefault="0077092C" w:rsidP="0077092C">
      <w:pPr>
        <w:spacing w:line="360" w:lineRule="auto"/>
        <w:rPr>
          <w:noProof w:val="0"/>
          <w:color w:val="000000"/>
          <w:sz w:val="32"/>
          <w:szCs w:val="32"/>
        </w:rPr>
      </w:pPr>
      <w:r w:rsidRPr="0077092C">
        <w:rPr>
          <w:noProof w:val="0"/>
          <w:sz w:val="32"/>
          <w:szCs w:val="32"/>
        </w:rPr>
        <w:lastRenderedPageBreak/>
        <w:t xml:space="preserve">Extensão: </w:t>
      </w:r>
      <w:r w:rsidRPr="0077092C">
        <w:rPr>
          <w:noProof w:val="0"/>
          <w:color w:val="000000"/>
          <w:sz w:val="32"/>
          <w:szCs w:val="32"/>
        </w:rPr>
        <w:t xml:space="preserve">De uma lauda e meia a três laudas e meia: Times New Roman, tamanho 12, espaçamento 1,5. (Extensão maior se houver citações longas.) </w:t>
      </w:r>
    </w:p>
    <w:p w:rsid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2"/>
          <w:szCs w:val="32"/>
        </w:rPr>
      </w:pPr>
    </w:p>
    <w:p w:rsidR="0077092C" w:rsidRDefault="0077092C" w:rsidP="0077092C">
      <w:pPr>
        <w:shd w:val="clear" w:color="auto" w:fill="FFFFFF"/>
        <w:spacing w:line="360" w:lineRule="auto"/>
        <w:jc w:val="both"/>
        <w:rPr>
          <w:noProof w:val="0"/>
          <w:sz w:val="32"/>
          <w:szCs w:val="32"/>
        </w:rPr>
      </w:pP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color w:val="000000"/>
          <w:sz w:val="32"/>
          <w:szCs w:val="32"/>
        </w:rPr>
      </w:pPr>
      <w:r w:rsidRPr="0077092C">
        <w:rPr>
          <w:noProof w:val="0"/>
          <w:sz w:val="32"/>
          <w:szCs w:val="32"/>
        </w:rPr>
        <w:t xml:space="preserve">Durante o curso de IEL-II diversas narrativas foram analisadas nos encontros síncronos e assíncronos assim como em exposições </w:t>
      </w:r>
      <w:proofErr w:type="gramStart"/>
      <w:r w:rsidRPr="0077092C">
        <w:rPr>
          <w:noProof w:val="0"/>
          <w:sz w:val="32"/>
          <w:szCs w:val="32"/>
        </w:rPr>
        <w:t>da(</w:t>
      </w:r>
      <w:proofErr w:type="gramEnd"/>
      <w:r w:rsidRPr="0077092C">
        <w:rPr>
          <w:noProof w:val="0"/>
          <w:sz w:val="32"/>
          <w:szCs w:val="32"/>
        </w:rPr>
        <w:t xml:space="preserve">o)s estagiária(o)s: “O Espelho”, “A hora e Vez de Augusto </w:t>
      </w:r>
      <w:proofErr w:type="spellStart"/>
      <w:r w:rsidRPr="0077092C">
        <w:rPr>
          <w:noProof w:val="0"/>
          <w:sz w:val="32"/>
          <w:szCs w:val="32"/>
        </w:rPr>
        <w:t>Matraga</w:t>
      </w:r>
      <w:proofErr w:type="spellEnd"/>
      <w:r w:rsidRPr="0077092C">
        <w:rPr>
          <w:noProof w:val="0"/>
          <w:sz w:val="32"/>
          <w:szCs w:val="32"/>
        </w:rPr>
        <w:t>”,</w:t>
      </w:r>
      <w:r w:rsidRPr="0077092C">
        <w:rPr>
          <w:noProof w:val="0"/>
          <w:color w:val="000000"/>
          <w:sz w:val="32"/>
          <w:szCs w:val="32"/>
        </w:rPr>
        <w:t xml:space="preserve"> “A Aranha Negra”, “O Gato Preto”, “O Homem da Multidão”, “Dois Amigos”, “Homem num Estojo”, “Depois do baile”, “O Terremoto no Chile”, a “Novela do Falcão” (ou de </w:t>
      </w:r>
      <w:proofErr w:type="spellStart"/>
      <w:r w:rsidRPr="0077092C">
        <w:rPr>
          <w:noProof w:val="0"/>
          <w:color w:val="000000"/>
          <w:sz w:val="32"/>
          <w:szCs w:val="32"/>
        </w:rPr>
        <w:t>Federigo</w:t>
      </w:r>
      <w:proofErr w:type="spellEnd"/>
      <w:r w:rsidRPr="0077092C">
        <w:rPr>
          <w:noProof w:val="0"/>
          <w:color w:val="000000"/>
          <w:sz w:val="32"/>
          <w:szCs w:val="32"/>
        </w:rPr>
        <w:t xml:space="preserve"> </w:t>
      </w:r>
      <w:proofErr w:type="spellStart"/>
      <w:r w:rsidRPr="0077092C">
        <w:rPr>
          <w:noProof w:val="0"/>
          <w:color w:val="000000"/>
          <w:sz w:val="32"/>
          <w:szCs w:val="32"/>
        </w:rPr>
        <w:t>degli</w:t>
      </w:r>
      <w:proofErr w:type="spellEnd"/>
      <w:r w:rsidRPr="0077092C">
        <w:rPr>
          <w:noProof w:val="0"/>
          <w:color w:val="000000"/>
          <w:sz w:val="32"/>
          <w:szCs w:val="32"/>
        </w:rPr>
        <w:t xml:space="preserve"> </w:t>
      </w:r>
      <w:proofErr w:type="spellStart"/>
      <w:r w:rsidRPr="0077092C">
        <w:rPr>
          <w:noProof w:val="0"/>
          <w:color w:val="000000"/>
          <w:sz w:val="32"/>
          <w:szCs w:val="32"/>
        </w:rPr>
        <w:t>Alberighi</w:t>
      </w:r>
      <w:proofErr w:type="spellEnd"/>
      <w:r w:rsidRPr="0077092C">
        <w:rPr>
          <w:noProof w:val="0"/>
          <w:color w:val="000000"/>
          <w:sz w:val="32"/>
          <w:szCs w:val="32"/>
        </w:rPr>
        <w:t xml:space="preserve">), no </w:t>
      </w:r>
      <w:proofErr w:type="spellStart"/>
      <w:r w:rsidRPr="0077092C">
        <w:rPr>
          <w:i/>
          <w:noProof w:val="0"/>
          <w:color w:val="000000"/>
          <w:sz w:val="32"/>
          <w:szCs w:val="32"/>
        </w:rPr>
        <w:t>Decamerão</w:t>
      </w:r>
      <w:proofErr w:type="spellEnd"/>
      <w:r w:rsidRPr="0077092C">
        <w:rPr>
          <w:noProof w:val="0"/>
          <w:color w:val="000000"/>
          <w:sz w:val="32"/>
          <w:szCs w:val="32"/>
        </w:rPr>
        <w:t>...</w:t>
      </w:r>
    </w:p>
    <w:p w:rsidR="0077092C" w:rsidRPr="0077092C" w:rsidRDefault="0077092C" w:rsidP="0077092C">
      <w:pPr>
        <w:shd w:val="clear" w:color="auto" w:fill="FFFFFF"/>
        <w:spacing w:line="360" w:lineRule="auto"/>
        <w:rPr>
          <w:noProof w:val="0"/>
          <w:color w:val="000000"/>
          <w:sz w:val="32"/>
          <w:szCs w:val="32"/>
        </w:rPr>
      </w:pPr>
      <w:r w:rsidRPr="0077092C">
        <w:rPr>
          <w:noProof w:val="0"/>
          <w:color w:val="000000"/>
          <w:sz w:val="32"/>
          <w:szCs w:val="32"/>
        </w:rPr>
        <w:t>Dentre todas essas narrativas, de qual você mais gostou (ou considerou mais produtiva para um curso de Introdução à Teoria da Narrativa)?</w:t>
      </w:r>
    </w:p>
    <w:p w:rsidR="0077092C" w:rsidRPr="0077092C" w:rsidRDefault="0077092C" w:rsidP="0077092C">
      <w:pPr>
        <w:shd w:val="clear" w:color="auto" w:fill="FFFFFF"/>
        <w:spacing w:line="360" w:lineRule="auto"/>
        <w:rPr>
          <w:noProof w:val="0"/>
          <w:color w:val="000000"/>
          <w:sz w:val="32"/>
          <w:szCs w:val="32"/>
        </w:rPr>
      </w:pPr>
      <w:r w:rsidRPr="0077092C">
        <w:rPr>
          <w:noProof w:val="0"/>
          <w:color w:val="000000"/>
          <w:sz w:val="32"/>
          <w:szCs w:val="32"/>
        </w:rPr>
        <w:t>Explicite as razões de sua escolha e estabeleça algumas comparações, sob o aspecto do Foco Narrativo (Norman Friedman), com pelo menos duas outras narrativas abordadas no curso.</w:t>
      </w:r>
    </w:p>
    <w:p w:rsidR="0077092C" w:rsidRPr="0077092C" w:rsidRDefault="0077092C" w:rsidP="0077092C">
      <w:pPr>
        <w:shd w:val="clear" w:color="auto" w:fill="FFFFFF"/>
        <w:spacing w:line="360" w:lineRule="auto"/>
        <w:rPr>
          <w:noProof w:val="0"/>
          <w:color w:val="000000"/>
          <w:sz w:val="32"/>
          <w:szCs w:val="32"/>
        </w:rPr>
      </w:pPr>
      <w:r w:rsidRPr="0077092C">
        <w:rPr>
          <w:noProof w:val="0"/>
          <w:color w:val="000000"/>
          <w:sz w:val="32"/>
          <w:szCs w:val="32"/>
        </w:rPr>
        <w:t>Se achar viável, incorpore à sua argumentação considerações feitas por Walter Benjamin ou Erich Auerbach nos ensaios “O Narrador” e “A Cicatriz de Ulisses”.</w:t>
      </w:r>
    </w:p>
    <w:p w:rsidR="0077092C" w:rsidRDefault="0077092C" w:rsidP="0077092C">
      <w:pPr>
        <w:pStyle w:val="Ttulo"/>
        <w:jc w:val="both"/>
        <w:rPr>
          <w:color w:val="000000"/>
          <w:sz w:val="32"/>
          <w:szCs w:val="32"/>
        </w:rPr>
      </w:pPr>
    </w:p>
    <w:p w:rsidR="0077092C" w:rsidRPr="0077092C" w:rsidRDefault="0077092C" w:rsidP="0077092C">
      <w:pPr>
        <w:pStyle w:val="Ttulo"/>
        <w:jc w:val="both"/>
        <w:rPr>
          <w:sz w:val="32"/>
          <w:szCs w:val="32"/>
        </w:rPr>
      </w:pPr>
      <w:bookmarkStart w:id="0" w:name="_GoBack"/>
      <w:bookmarkEnd w:id="0"/>
      <w:r w:rsidRPr="0077092C">
        <w:rPr>
          <w:color w:val="000000"/>
          <w:sz w:val="32"/>
          <w:szCs w:val="32"/>
        </w:rPr>
        <w:lastRenderedPageBreak/>
        <w:t xml:space="preserve">Apresentar um </w:t>
      </w:r>
      <w:r w:rsidRPr="0077092C">
        <w:rPr>
          <w:sz w:val="32"/>
          <w:szCs w:val="32"/>
        </w:rPr>
        <w:t xml:space="preserve">texto objetivo, claro, bem concatenado, com </w:t>
      </w:r>
      <w:r w:rsidRPr="0077092C">
        <w:rPr>
          <w:b/>
          <w:sz w:val="32"/>
          <w:szCs w:val="32"/>
        </w:rPr>
        <w:t xml:space="preserve">formulações próprias </w:t>
      </w:r>
      <w:r w:rsidRPr="0077092C">
        <w:rPr>
          <w:sz w:val="32"/>
          <w:szCs w:val="32"/>
        </w:rPr>
        <w:t>e que reflita os tópicos tratados ao longo do curso.</w:t>
      </w:r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color w:val="000000"/>
          <w:sz w:val="32"/>
          <w:szCs w:val="32"/>
        </w:rPr>
      </w:pPr>
      <w:r w:rsidRPr="0077092C">
        <w:rPr>
          <w:noProof w:val="0"/>
          <w:color w:val="000000"/>
          <w:sz w:val="32"/>
          <w:szCs w:val="32"/>
        </w:rPr>
        <w:t xml:space="preserve">Cite com clareza as fontes utilizadas e procure também evitar erros de português (quando houver dúvidas, consultar o dicionário). </w:t>
      </w:r>
    </w:p>
    <w:p w:rsidR="0077092C" w:rsidRPr="0077092C" w:rsidRDefault="0077092C" w:rsidP="0077092C">
      <w:pPr>
        <w:spacing w:line="360" w:lineRule="auto"/>
        <w:jc w:val="both"/>
        <w:rPr>
          <w:noProof w:val="0"/>
          <w:color w:val="000000"/>
          <w:sz w:val="32"/>
          <w:szCs w:val="32"/>
        </w:rPr>
      </w:pPr>
      <w:r w:rsidRPr="0077092C">
        <w:rPr>
          <w:noProof w:val="0"/>
          <w:color w:val="000000"/>
          <w:sz w:val="32"/>
          <w:szCs w:val="32"/>
        </w:rPr>
        <w:t>Enviar a resposta até o dia 18 de dezembro aos e-mails:</w:t>
      </w:r>
    </w:p>
    <w:p w:rsidR="0077092C" w:rsidRPr="0077092C" w:rsidRDefault="0077092C" w:rsidP="0077092C">
      <w:pPr>
        <w:spacing w:line="360" w:lineRule="auto"/>
        <w:jc w:val="both"/>
        <w:rPr>
          <w:noProof w:val="0"/>
          <w:color w:val="222222"/>
          <w:sz w:val="32"/>
          <w:szCs w:val="32"/>
          <w:shd w:val="clear" w:color="auto" w:fill="FFFFFF"/>
        </w:rPr>
      </w:pPr>
      <w:hyperlink r:id="rId4" w:history="1">
        <w:r w:rsidRPr="0077092C">
          <w:rPr>
            <w:rStyle w:val="Hyperlink"/>
            <w:noProof w:val="0"/>
            <w:sz w:val="32"/>
            <w:szCs w:val="32"/>
            <w:shd w:val="clear" w:color="auto" w:fill="FFFFFF"/>
          </w:rPr>
          <w:t>marcusmazzari@gmail.com</w:t>
        </w:r>
      </w:hyperlink>
      <w:r w:rsidRPr="0077092C">
        <w:rPr>
          <w:noProof w:val="0"/>
          <w:color w:val="222222"/>
          <w:sz w:val="32"/>
          <w:szCs w:val="32"/>
          <w:shd w:val="clear" w:color="auto" w:fill="FFFFFF"/>
        </w:rPr>
        <w:t xml:space="preserve"> </w:t>
      </w:r>
    </w:p>
    <w:p w:rsidR="0077092C" w:rsidRPr="0077092C" w:rsidRDefault="0077092C" w:rsidP="0077092C">
      <w:pPr>
        <w:spacing w:line="360" w:lineRule="auto"/>
        <w:jc w:val="both"/>
        <w:rPr>
          <w:noProof w:val="0"/>
          <w:color w:val="000000"/>
          <w:sz w:val="32"/>
          <w:szCs w:val="32"/>
        </w:rPr>
      </w:pPr>
      <w:proofErr w:type="gramStart"/>
      <w:r w:rsidRPr="0077092C">
        <w:rPr>
          <w:noProof w:val="0"/>
          <w:color w:val="000000"/>
          <w:sz w:val="32"/>
          <w:szCs w:val="32"/>
        </w:rPr>
        <w:t>e</w:t>
      </w:r>
      <w:proofErr w:type="gramEnd"/>
    </w:p>
    <w:p w:rsidR="0077092C" w:rsidRPr="0077092C" w:rsidRDefault="0077092C" w:rsidP="0077092C">
      <w:pPr>
        <w:spacing w:line="360" w:lineRule="auto"/>
        <w:jc w:val="both"/>
        <w:rPr>
          <w:noProof w:val="0"/>
          <w:color w:val="222222"/>
          <w:sz w:val="32"/>
          <w:szCs w:val="32"/>
          <w:shd w:val="clear" w:color="auto" w:fill="FFFFFF"/>
        </w:rPr>
      </w:pPr>
      <w:hyperlink r:id="rId5" w:history="1">
        <w:r w:rsidRPr="0077092C">
          <w:rPr>
            <w:rStyle w:val="Hyperlink"/>
            <w:noProof w:val="0"/>
            <w:sz w:val="32"/>
            <w:szCs w:val="32"/>
            <w:shd w:val="clear" w:color="auto" w:fill="FFFFFF"/>
          </w:rPr>
          <w:t>marcus.mazzari@pq.cnpq.br</w:t>
        </w:r>
      </w:hyperlink>
    </w:p>
    <w:p w:rsidR="0077092C" w:rsidRPr="0077092C" w:rsidRDefault="0077092C" w:rsidP="0077092C">
      <w:pPr>
        <w:shd w:val="clear" w:color="auto" w:fill="FFFFFF"/>
        <w:spacing w:line="360" w:lineRule="auto"/>
        <w:jc w:val="both"/>
        <w:rPr>
          <w:noProof w:val="0"/>
          <w:color w:val="000000"/>
          <w:sz w:val="32"/>
          <w:szCs w:val="32"/>
        </w:rPr>
      </w:pPr>
    </w:p>
    <w:p w:rsidR="004F6771" w:rsidRPr="0077092C" w:rsidRDefault="004F6771">
      <w:pPr>
        <w:rPr>
          <w:sz w:val="32"/>
          <w:szCs w:val="32"/>
        </w:rPr>
      </w:pPr>
    </w:p>
    <w:sectPr w:rsidR="004F6771" w:rsidRPr="00770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C"/>
    <w:rsid w:val="004F6771"/>
    <w:rsid w:val="007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637D"/>
  <w15:chartTrackingRefBased/>
  <w15:docId w15:val="{48FF847B-7E14-4A5E-9576-E4D3F6F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7092C"/>
    <w:pPr>
      <w:spacing w:line="360" w:lineRule="auto"/>
      <w:jc w:val="center"/>
    </w:pPr>
    <w:rPr>
      <w:noProof w:val="0"/>
      <w:sz w:val="28"/>
    </w:rPr>
  </w:style>
  <w:style w:type="character" w:customStyle="1" w:styleId="TtuloChar">
    <w:name w:val="Título Char"/>
    <w:basedOn w:val="Fontepargpadro"/>
    <w:link w:val="Ttulo"/>
    <w:rsid w:val="007709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7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us.mazzari@pq.cnpq.br" TargetMode="External"/><Relationship Id="rId4" Type="http://schemas.openxmlformats.org/officeDocument/2006/relationships/hyperlink" Target="mailto:marcusmazzar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Mazzari</dc:creator>
  <cp:keywords/>
  <dc:description/>
  <cp:lastModifiedBy>Marcus Mazzari</cp:lastModifiedBy>
  <cp:revision>1</cp:revision>
  <dcterms:created xsi:type="dcterms:W3CDTF">2020-12-04T12:12:00Z</dcterms:created>
  <dcterms:modified xsi:type="dcterms:W3CDTF">2020-12-04T12:16:00Z</dcterms:modified>
</cp:coreProperties>
</file>