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2AE2A" w14:textId="408F43A1" w:rsidR="00FC7F72" w:rsidRDefault="00674EDF" w:rsidP="00674ED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4EDF">
        <w:rPr>
          <w:rFonts w:ascii="Times New Roman" w:hAnsi="Times New Roman" w:cs="Times New Roman"/>
          <w:b/>
          <w:bCs/>
          <w:sz w:val="24"/>
          <w:szCs w:val="24"/>
        </w:rPr>
        <w:t>Avaliação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03/12/2020</w:t>
      </w:r>
      <w:r w:rsidR="00AF42A5">
        <w:rPr>
          <w:rFonts w:ascii="Times New Roman" w:hAnsi="Times New Roman" w:cs="Times New Roman"/>
          <w:b/>
          <w:bCs/>
          <w:sz w:val="24"/>
          <w:szCs w:val="24"/>
        </w:rPr>
        <w:t xml:space="preserve"> – 09:00-10:00</w:t>
      </w:r>
    </w:p>
    <w:p w14:paraId="45DB5896" w14:textId="0AE251F4" w:rsidR="00674EDF" w:rsidRDefault="00674EDF" w:rsidP="00674E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6EC0DA" w14:textId="0B3231FD" w:rsidR="00674EDF" w:rsidRDefault="00674EDF" w:rsidP="00674E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Discorra sobre as semelhanças e diferenças no tratamento da evicção e dos vícios redibitórios no Código Civil.</w:t>
      </w:r>
    </w:p>
    <w:p w14:paraId="1FB4624C" w14:textId="0A603AB6" w:rsidR="00674EDF" w:rsidRDefault="00674EDF" w:rsidP="00674E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Discorra sobre a </w:t>
      </w:r>
      <w:r>
        <w:rPr>
          <w:rFonts w:ascii="Times New Roman" w:hAnsi="Times New Roman" w:cs="Times New Roman"/>
          <w:i/>
          <w:iCs/>
          <w:sz w:val="24"/>
          <w:szCs w:val="24"/>
        </w:rPr>
        <w:t>suppressio</w:t>
      </w:r>
      <w:r>
        <w:rPr>
          <w:rFonts w:ascii="Times New Roman" w:hAnsi="Times New Roman" w:cs="Times New Roman"/>
          <w:sz w:val="24"/>
          <w:szCs w:val="24"/>
        </w:rPr>
        <w:t xml:space="preserve"> e a </w:t>
      </w:r>
      <w:r>
        <w:rPr>
          <w:rFonts w:ascii="Times New Roman" w:hAnsi="Times New Roman" w:cs="Times New Roman"/>
          <w:i/>
          <w:iCs/>
          <w:sz w:val="24"/>
          <w:szCs w:val="24"/>
        </w:rPr>
        <w:t>surrectio</w:t>
      </w:r>
      <w:r>
        <w:rPr>
          <w:rFonts w:ascii="Times New Roman" w:hAnsi="Times New Roman" w:cs="Times New Roman"/>
          <w:sz w:val="24"/>
          <w:szCs w:val="24"/>
        </w:rPr>
        <w:t xml:space="preserve"> como figuras parcelares da boa-fé objetiva.</w:t>
      </w:r>
    </w:p>
    <w:p w14:paraId="28B91F60" w14:textId="7C384E18" w:rsidR="00674EDF" w:rsidRDefault="00674EDF" w:rsidP="00674E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 xml:space="preserve">Na evicção parcial, o art. 455 do Código Civil dá ao evicto a opção de </w:t>
      </w:r>
      <w:r w:rsidRPr="00674EDF">
        <w:rPr>
          <w:rFonts w:ascii="Times New Roman" w:hAnsi="Times New Roman" w:cs="Times New Roman"/>
          <w:sz w:val="24"/>
          <w:szCs w:val="24"/>
          <w:u w:val="single"/>
        </w:rPr>
        <w:t>rescisão</w:t>
      </w:r>
      <w:r>
        <w:rPr>
          <w:rFonts w:ascii="Times New Roman" w:hAnsi="Times New Roman" w:cs="Times New Roman"/>
          <w:sz w:val="24"/>
          <w:szCs w:val="24"/>
        </w:rPr>
        <w:t xml:space="preserve"> contratual. A qual instituto o vocábulo corresponde considerando que o Código Civil disciplina apenas a resilição e resolução? Dê ambos os conceitos.</w:t>
      </w:r>
    </w:p>
    <w:p w14:paraId="1718EACE" w14:textId="160C5B3C" w:rsidR="00674EDF" w:rsidRPr="00674EDF" w:rsidRDefault="00674EDF" w:rsidP="00674E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Qual a diferença eficacial entre a locação residencial urbana avençada por escrito com duração superior ou igual a 30 meses e a locação residencial urbana com duração inferior a 30 meses? Discorra sobre a denúncia.</w:t>
      </w:r>
    </w:p>
    <w:sectPr w:rsidR="00674EDF" w:rsidRPr="00674E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EDF"/>
    <w:rsid w:val="00214BAC"/>
    <w:rsid w:val="00674EDF"/>
    <w:rsid w:val="00AF42A5"/>
    <w:rsid w:val="00CC57DD"/>
    <w:rsid w:val="00FC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AA91F"/>
  <w15:chartTrackingRefBased/>
  <w15:docId w15:val="{FCBEDD1F-31EB-4EDE-93C3-B321C2048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584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Simão e Bunazar</dc:creator>
  <cp:keywords/>
  <dc:description/>
  <cp:lastModifiedBy>Simão e Bunazar</cp:lastModifiedBy>
  <cp:revision>2</cp:revision>
  <dcterms:created xsi:type="dcterms:W3CDTF">2020-11-30T21:05:00Z</dcterms:created>
  <dcterms:modified xsi:type="dcterms:W3CDTF">2020-11-30T21:11:00Z</dcterms:modified>
</cp:coreProperties>
</file>