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B9B5" w14:textId="77777777" w:rsidR="00C10BE5" w:rsidRDefault="00ED21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MECANISMOS DE AÇÃO E EFEITOS DA ADMINISTRAÇÃO</w:t>
      </w:r>
    </w:p>
    <w:p w14:paraId="56DB4BAA" w14:textId="77777777" w:rsidR="00C10BE5" w:rsidRDefault="00ED21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COENZIMA Q10 NA SÍNDROME METABÓLICA</w:t>
      </w:r>
    </w:p>
    <w:p w14:paraId="35F29CCA" w14:textId="77777777" w:rsidR="00C10BE5" w:rsidRDefault="00C10BE5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775B7AB" w14:textId="77777777" w:rsidR="00C10BE5" w:rsidRDefault="00ED21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Casagrande D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Waib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PH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, Jordao AA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3A13DD22" w14:textId="77777777" w:rsidR="00C10BE5" w:rsidRDefault="00C10BE5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14:paraId="27173C2B" w14:textId="77777777" w:rsidR="00C10BE5" w:rsidRDefault="00ED21C1">
      <w:pPr>
        <w:pStyle w:val="PargrafodaLista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>Departamento de Ciências da Saúde da Faculdade de Medicina de Ribeirão Preto - Universidade de São Paulo</w:t>
      </w:r>
    </w:p>
    <w:p w14:paraId="416BF6CB" w14:textId="77777777" w:rsidR="00C10BE5" w:rsidRDefault="00ED21C1">
      <w:pPr>
        <w:pStyle w:val="PargrafodaLista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 xml:space="preserve">Faculdade de </w:t>
      </w:r>
      <w:r>
        <w:rPr>
          <w:rFonts w:ascii="Arial" w:hAnsi="Arial" w:cs="Arial"/>
          <w:b/>
          <w:sz w:val="24"/>
          <w:szCs w:val="24"/>
          <w:vertAlign w:val="superscript"/>
        </w:rPr>
        <w:t>Medicina de Marília</w:t>
      </w:r>
    </w:p>
    <w:p w14:paraId="65E793EC" w14:textId="77777777" w:rsidR="00C10BE5" w:rsidRDefault="00C10BE5">
      <w:pPr>
        <w:jc w:val="center"/>
        <w:rPr>
          <w:rFonts w:ascii="Arial" w:hAnsi="Arial" w:cs="Arial"/>
          <w:b/>
          <w:sz w:val="24"/>
          <w:szCs w:val="24"/>
        </w:rPr>
      </w:pPr>
    </w:p>
    <w:p w14:paraId="0022BE33" w14:textId="77777777" w:rsidR="00C10BE5" w:rsidRDefault="00ED21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14:paraId="4FE7487F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Coenzima Q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(CoQ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>) é um componente essencial presente na cadeia de transporte de elétrons mitocondrial, exercendo diferentes funções, entre elas atuando como um composto antioxidante. Níveis baixos estão relacionados aos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pro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cessos inflamatórios e estresse oxidativo, componentes estes implicados na arterosclerose, obesidade, doença hepática gordurosa não alcóolica (DHGNA) </w:t>
      </w:r>
      <w:proofErr w:type="gramStart"/>
      <w:r>
        <w:rPr>
          <w:rFonts w:ascii="Arial" w:eastAsia="Times New Roman" w:hAnsi="Arial" w:cs="Arial"/>
          <w:sz w:val="24"/>
          <w:szCs w:val="24"/>
          <w:lang w:val="pt-PT" w:eastAsia="pt-BR"/>
        </w:rPr>
        <w:t>e também</w:t>
      </w:r>
      <w:proofErr w:type="gramEnd"/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na síndrome metabólica (SM). A SM é uma doença caracterizada por fatores de risco cardiovasculare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s ligados a obesidade, dislipidemia e hiperglicemia. A DHGNA é reconhecida como a manifestação hepática da SM e em conjunto, apresentam alta incidência na população mundial. Pesquisas recentes destacam os efeitos positivos da suplementação de CoQ10 no trat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amento da obesidade, estresse oxidativo, SM e DHGNA. Este artigo buscou analisar as evidências que mostram o efeitos da suplementação de CoQ10 na SM e DHGNA e fornecer uma visão geral dos mecanismos de ação da CoQ10 em ambas as patologias.</w:t>
      </w:r>
    </w:p>
    <w:p w14:paraId="76D52326" w14:textId="77777777" w:rsidR="00C10BE5" w:rsidRDefault="00ED21C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Palavras Chave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Síndrome Metabólica; Coenzima Q10, Doença Hepática Gordurosa Não Alcóolica; Estresse Oxidativo; Inflamação</w:t>
      </w:r>
    </w:p>
    <w:p w14:paraId="69B2706C" w14:textId="77777777" w:rsidR="00C10BE5" w:rsidRDefault="00C10B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D8FD6BE" w14:textId="77777777" w:rsidR="00C10BE5" w:rsidRDefault="00C10B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22E2C5D" w14:textId="77777777" w:rsidR="00C10BE5" w:rsidRDefault="00ED21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1068B0A6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Coenzima Q10 (</w:t>
      </w:r>
      <w:r>
        <w:rPr>
          <w:rFonts w:ascii="Arial" w:eastAsia="Times New Roman" w:hAnsi="Arial" w:cs="Arial"/>
          <w:sz w:val="24"/>
          <w:szCs w:val="24"/>
          <w:lang w:eastAsia="pt-BR"/>
        </w:rPr>
        <w:t>CoQ10)</w:t>
      </w:r>
      <w:r>
        <w:rPr>
          <w:rFonts w:ascii="Arial" w:hAnsi="Arial" w:cs="Arial"/>
          <w:sz w:val="24"/>
          <w:szCs w:val="24"/>
        </w:rPr>
        <w:t xml:space="preserve"> é quimicamente uma </w:t>
      </w:r>
      <w:proofErr w:type="spellStart"/>
      <w:r>
        <w:rPr>
          <w:rFonts w:ascii="Arial" w:hAnsi="Arial" w:cs="Arial"/>
          <w:sz w:val="24"/>
          <w:szCs w:val="24"/>
        </w:rPr>
        <w:t>benzoquina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2,3-dimetoxi-5 Metil-6-decaprenil-benzoquinona)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eastAsia="pt-BR"/>
        </w:rPr>
        <w:t>semelhante quimicamente a uma vi</w:t>
      </w:r>
      <w:r>
        <w:rPr>
          <w:rFonts w:ascii="Arial" w:eastAsia="Times New Roman" w:hAnsi="Arial" w:cs="Arial"/>
          <w:sz w:val="24"/>
          <w:szCs w:val="24"/>
          <w:lang w:eastAsia="pt-BR"/>
        </w:rPr>
        <w:t>tamina lipossolúvel, sendo um pó cristalino em sua forma pura.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Essa molécula pode ser encontrada em muitos organismos aeróbicos desde bactérias a mamíferos e nos seres humanos está presente em quase todas as células do corpo. No organismo humano, ela possui um papel importante dentro da cadeia respiratória, atuando c</w:t>
      </w:r>
      <w:r>
        <w:rPr>
          <w:rFonts w:ascii="Arial" w:eastAsia="Times New Roman" w:hAnsi="Arial" w:cs="Arial"/>
          <w:sz w:val="24"/>
          <w:szCs w:val="24"/>
          <w:lang w:eastAsia="pt-BR"/>
        </w:rPr>
        <w:t>omo um transportador de elétrons para a produção de adenosina trifosfato (ATP) sendo encontrada na mitocôndria.</w:t>
      </w:r>
    </w:p>
    <w:p w14:paraId="1B4D8103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forma reduzida, a CoQ10 atua como antioxidante protegendo as membranas biológicas contra a oxidação, inibindo a peroxidação lipídica 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stabilizando indiretamente os canais de cálcio para que não ocorra uma sobrecarga de cálcio</w:t>
      </w: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>e participa da reciclagem do α-tocoferol. No entanto, alguns fatores podem diminuir suas concentrações plasmáticas, como o envelhecimento, fatores genéticos, uso d</w:t>
      </w:r>
      <w:r>
        <w:rPr>
          <w:rFonts w:ascii="Arial" w:hAnsi="Arial" w:cs="Arial"/>
          <w:sz w:val="24"/>
          <w:szCs w:val="24"/>
        </w:rPr>
        <w:t xml:space="preserve">e certos fármacos e algumas patologias. A Síndrome Metabólica (SM) é uma doença composta por um conjunto de sinais e sintomas como a dislipidemia, hipertensão arterial, hiperglicemia acompanhada da resistência à insulina e obesidade abdominal 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, fatores qu</w:t>
      </w:r>
      <w:r>
        <w:rPr>
          <w:rFonts w:ascii="Arial" w:hAnsi="Arial" w:cs="Arial"/>
          <w:sz w:val="24"/>
          <w:szCs w:val="24"/>
        </w:rPr>
        <w:t>e desempenham um papel crucial na disfunção mitocondrial. As respostas inflamatórias presente na SM, como o aumento do fator de necrose tumoral-α (</w:t>
      </w:r>
      <w:proofErr w:type="spellStart"/>
      <w:r>
        <w:rPr>
          <w:rFonts w:ascii="Arial" w:hAnsi="Arial" w:cs="Arial"/>
          <w:sz w:val="24"/>
          <w:szCs w:val="24"/>
        </w:rPr>
        <w:t>TNF-a</w:t>
      </w:r>
      <w:proofErr w:type="spellEnd"/>
      <w:r>
        <w:rPr>
          <w:rFonts w:ascii="Arial" w:hAnsi="Arial" w:cs="Arial"/>
          <w:sz w:val="24"/>
          <w:szCs w:val="24"/>
        </w:rPr>
        <w:t>), Interleucina-6 (IL-6) e proteína quimiotática de monócitos - 1 (MCP-1) são evidentes na disfunção dos</w:t>
      </w:r>
      <w:r>
        <w:rPr>
          <w:rFonts w:ascii="Arial" w:hAnsi="Arial" w:cs="Arial"/>
          <w:sz w:val="24"/>
          <w:szCs w:val="24"/>
        </w:rPr>
        <w:t xml:space="preserve"> adipócitos e na resistência à insulina presente na obesidade e nas desordens metabólicas. A inflamação dos adipócitos pode ser um fator causal na diminuição da biogênese mitocondrial e homeostase energética. 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5B061E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possuir uma ampla gama de propriedade ce</w:t>
      </w:r>
      <w:r>
        <w:rPr>
          <w:rFonts w:ascii="Arial" w:hAnsi="Arial" w:cs="Arial"/>
          <w:sz w:val="24"/>
          <w:szCs w:val="24"/>
        </w:rPr>
        <w:t>lulares, implicando no tratamento de numerosas patologias incluindo a SM, através de sua ação antioxidante, a suplementação com CoQ10 pode ser uma aliada a fim de estabilizar e restaurar as defesas naturais do organismo. Assim, diante do exposto, o present</w:t>
      </w:r>
      <w:r>
        <w:rPr>
          <w:rFonts w:ascii="Arial" w:hAnsi="Arial" w:cs="Arial"/>
          <w:sz w:val="24"/>
          <w:szCs w:val="24"/>
        </w:rPr>
        <w:t>e artigo procurou elucidar o que é a Coenzima Q10, sua origem e características, forma de absorção, benefícios e sua relação com a Síndrome Metabólica e patologias relacionadas.</w:t>
      </w:r>
    </w:p>
    <w:p w14:paraId="4A065EF3" w14:textId="77777777" w:rsidR="00C10BE5" w:rsidRDefault="00ED21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757700" w14:textId="77777777" w:rsidR="00C10BE5" w:rsidRDefault="00ED21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CARACTERÍSTICAS DA COENZIMA Q10 </w:t>
      </w:r>
    </w:p>
    <w:p w14:paraId="42633C54" w14:textId="77777777" w:rsidR="00C10BE5" w:rsidRDefault="00ED21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 Química </w:t>
      </w:r>
    </w:p>
    <w:p w14:paraId="740E29C5" w14:textId="77777777" w:rsidR="00C10BE5" w:rsidRDefault="00ED21C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CoQ10 é sintetizada a par</w:t>
      </w:r>
      <w:r>
        <w:rPr>
          <w:rFonts w:ascii="Arial" w:hAnsi="Arial" w:cs="Arial"/>
          <w:sz w:val="24"/>
          <w:szCs w:val="24"/>
        </w:rPr>
        <w:t xml:space="preserve">tir do ciclo do </w:t>
      </w:r>
      <w:proofErr w:type="spellStart"/>
      <w:r>
        <w:rPr>
          <w:rFonts w:ascii="Arial" w:hAnsi="Arial" w:cs="Arial"/>
          <w:sz w:val="24"/>
          <w:szCs w:val="24"/>
        </w:rPr>
        <w:t>mevalonato</w:t>
      </w:r>
      <w:proofErr w:type="spellEnd"/>
      <w:r>
        <w:rPr>
          <w:rFonts w:ascii="Arial" w:hAnsi="Arial" w:cs="Arial"/>
          <w:sz w:val="24"/>
          <w:szCs w:val="24"/>
        </w:rPr>
        <w:t>, obtido a partir da acetil-</w:t>
      </w:r>
      <w:proofErr w:type="spellStart"/>
      <w:r>
        <w:rPr>
          <w:rFonts w:ascii="Arial" w:hAnsi="Arial" w:cs="Arial"/>
          <w:sz w:val="24"/>
          <w:szCs w:val="24"/>
        </w:rPr>
        <w:t>CoA</w:t>
      </w:r>
      <w:proofErr w:type="spellEnd"/>
      <w:r>
        <w:rPr>
          <w:rFonts w:ascii="Arial" w:hAnsi="Arial" w:cs="Arial"/>
          <w:sz w:val="24"/>
          <w:szCs w:val="24"/>
        </w:rPr>
        <w:t xml:space="preserve"> que prossegue para a produção do colesterol, </w:t>
      </w:r>
      <w:proofErr w:type="spellStart"/>
      <w:r>
        <w:rPr>
          <w:rFonts w:ascii="Arial" w:hAnsi="Arial" w:cs="Arial"/>
          <w:sz w:val="24"/>
          <w:szCs w:val="24"/>
        </w:rPr>
        <w:t>dolicol</w:t>
      </w:r>
      <w:proofErr w:type="spellEnd"/>
      <w:r>
        <w:rPr>
          <w:rFonts w:ascii="Arial" w:hAnsi="Arial" w:cs="Arial"/>
          <w:sz w:val="24"/>
          <w:szCs w:val="24"/>
        </w:rPr>
        <w:t xml:space="preserve"> e CoQ10 como </w:t>
      </w:r>
      <w:proofErr w:type="gramStart"/>
      <w:r>
        <w:rPr>
          <w:rFonts w:ascii="Arial" w:hAnsi="Arial" w:cs="Arial"/>
          <w:sz w:val="24"/>
          <w:szCs w:val="24"/>
        </w:rPr>
        <w:t>produto final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. CoQ10 também pode ser conhecida como </w:t>
      </w:r>
      <w:proofErr w:type="spellStart"/>
      <w:r>
        <w:rPr>
          <w:rFonts w:ascii="Arial" w:hAnsi="Arial" w:cs="Arial"/>
          <w:sz w:val="24"/>
          <w:szCs w:val="24"/>
        </w:rPr>
        <w:t>ubiquinona</w:t>
      </w:r>
      <w:proofErr w:type="spellEnd"/>
      <w:r>
        <w:rPr>
          <w:rFonts w:ascii="Arial" w:hAnsi="Arial" w:cs="Arial"/>
          <w:sz w:val="24"/>
          <w:szCs w:val="24"/>
        </w:rPr>
        <w:t xml:space="preserve"> em sua forma oxidada e </w:t>
      </w:r>
      <w:proofErr w:type="spellStart"/>
      <w:r>
        <w:rPr>
          <w:rFonts w:ascii="Arial" w:hAnsi="Arial" w:cs="Arial"/>
          <w:sz w:val="24"/>
          <w:szCs w:val="24"/>
        </w:rPr>
        <w:t>ubiquinol</w:t>
      </w:r>
      <w:proofErr w:type="spellEnd"/>
      <w:r>
        <w:rPr>
          <w:rFonts w:ascii="Arial" w:hAnsi="Arial" w:cs="Arial"/>
          <w:sz w:val="24"/>
          <w:szCs w:val="24"/>
        </w:rPr>
        <w:t xml:space="preserve"> na forma reduzida. Nos humanos a </w:t>
      </w:r>
      <w:proofErr w:type="spellStart"/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biquinona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2,3-dimetoxi-5 Metil-6-decaprenil-benzoquinona)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</w:t>
      </w:r>
      <w:r>
        <w:rPr>
          <w:rFonts w:ascii="Arial" w:hAnsi="Arial" w:cs="Arial"/>
          <w:sz w:val="24"/>
          <w:szCs w:val="24"/>
        </w:rPr>
        <w:t xml:space="preserve"> apresenta uma cadeia com 10 unidades de isoprenos </w:t>
      </w: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e deriva da conjunção do anel da benzoquinona com uma cadeia hidrofóbica de </w:t>
      </w:r>
      <w:proofErr w:type="spellStart"/>
      <w:r>
        <w:rPr>
          <w:rFonts w:ascii="Arial" w:hAnsi="Arial" w:cs="Arial"/>
          <w:sz w:val="24"/>
          <w:szCs w:val="24"/>
        </w:rPr>
        <w:t>isoprenóides</w:t>
      </w:r>
      <w:proofErr w:type="spellEnd"/>
      <w:r>
        <w:rPr>
          <w:rFonts w:ascii="Arial" w:hAnsi="Arial" w:cs="Arial"/>
          <w:sz w:val="24"/>
          <w:szCs w:val="24"/>
        </w:rPr>
        <w:t>, todos eles com uma ligação dupla e configuração trans.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</w:p>
    <w:p w14:paraId="5E6560CD" w14:textId="77777777" w:rsidR="00C10BE5" w:rsidRDefault="00ED21C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noProof/>
        </w:rPr>
        <w:drawing>
          <wp:inline distT="0" distB="0" distL="0" distR="0" wp14:anchorId="6B209275" wp14:editId="5B9F76AF">
            <wp:extent cx="2847975" cy="1352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8A96" w14:textId="77777777" w:rsidR="00C10BE5" w:rsidRDefault="00ED21C1">
      <w:pPr>
        <w:spacing w:line="48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Figura 1. Estrutura química CoQ10 (retirado de </w:t>
      </w:r>
      <w:proofErr w:type="spellStart"/>
      <w:r>
        <w:rPr>
          <w:rFonts w:ascii="Arial" w:hAnsi="Arial" w:cs="Arial"/>
          <w:sz w:val="24"/>
          <w:szCs w:val="24"/>
        </w:rPr>
        <w:t>Prakash</w:t>
      </w:r>
      <w:proofErr w:type="spellEnd"/>
      <w:r>
        <w:rPr>
          <w:rFonts w:ascii="Arial" w:hAnsi="Arial" w:cs="Arial"/>
          <w:sz w:val="24"/>
          <w:szCs w:val="24"/>
        </w:rPr>
        <w:t xml:space="preserve"> S et al, 2010).</w:t>
      </w:r>
      <w:r>
        <w:rPr>
          <w:rFonts w:ascii="Arial" w:hAnsi="Arial" w:cs="Arial"/>
          <w:sz w:val="24"/>
          <w:szCs w:val="24"/>
          <w:vertAlign w:val="superscript"/>
        </w:rPr>
        <w:t>10</w:t>
      </w:r>
    </w:p>
    <w:p w14:paraId="0AB48ED6" w14:textId="77777777" w:rsidR="00C10BE5" w:rsidRDefault="00ED21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Função no Organismo</w:t>
      </w:r>
    </w:p>
    <w:p w14:paraId="4BD86269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. A CoQ10 na cadeia respiratória é responsável por transportar o elétron do complexo proteico I (complexo de NADH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desidrogenase) para o complexo II (complexo 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succinato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desidrogenase), e do complexo II para o complexo III (complexo bc1).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Ao receber os elétrons tanto do complexo I quanto do complexo II, fica em sua forma reduzida, como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ubiquinol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após transferir o</w:t>
      </w:r>
      <w:r>
        <w:rPr>
          <w:rFonts w:ascii="Arial" w:eastAsia="Times New Roman" w:hAnsi="Arial" w:cs="Arial"/>
          <w:sz w:val="24"/>
          <w:szCs w:val="24"/>
          <w:lang w:eastAsia="pt-BR"/>
        </w:rPr>
        <w:t>s elétrons para o complexo III volta a sua forma oxidada como ubiquinona.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</w:t>
      </w:r>
      <w:r>
        <w:rPr>
          <w:rFonts w:ascii="Arial" w:hAnsi="Arial" w:cs="Arial"/>
          <w:sz w:val="24"/>
          <w:szCs w:val="24"/>
        </w:rPr>
        <w:t>órgãos que demandam maiores concentrações enérgicas apresentam taxas superiores de CoQ10 como o cérebro, coração, rins e fígado.</w:t>
      </w:r>
      <w:r>
        <w:rPr>
          <w:rFonts w:ascii="Arial" w:hAnsi="Arial" w:cs="Arial"/>
          <w:sz w:val="24"/>
          <w:szCs w:val="24"/>
          <w:vertAlign w:val="superscript"/>
        </w:rPr>
        <w:t>12</w:t>
      </w:r>
    </w:p>
    <w:p w14:paraId="4744389A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F98EBDF" wp14:editId="789D8ABF">
            <wp:extent cx="5038725" cy="2371725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3959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Figura 2. A cadeia de transporte de </w:t>
      </w:r>
      <w:r>
        <w:rPr>
          <w:rFonts w:ascii="Arial" w:hAnsi="Arial" w:cs="Arial"/>
          <w:sz w:val="24"/>
          <w:szCs w:val="24"/>
        </w:rPr>
        <w:t xml:space="preserve">elétrons mitocondriais. NADH = </w:t>
      </w:r>
      <w:proofErr w:type="spellStart"/>
      <w:r>
        <w:rPr>
          <w:rFonts w:ascii="Arial" w:hAnsi="Arial" w:cs="Arial"/>
          <w:sz w:val="24"/>
          <w:szCs w:val="24"/>
        </w:rPr>
        <w:t>dinucleótido</w:t>
      </w:r>
      <w:proofErr w:type="spellEnd"/>
      <w:r>
        <w:rPr>
          <w:rFonts w:ascii="Arial" w:hAnsi="Arial" w:cs="Arial"/>
          <w:sz w:val="24"/>
          <w:szCs w:val="24"/>
        </w:rPr>
        <w:t xml:space="preserve"> de nicotinamida adenina, Q = CoQ10, C = citocromo C, </w:t>
      </w:r>
      <w:proofErr w:type="spellStart"/>
      <w:r>
        <w:rPr>
          <w:rFonts w:ascii="Arial" w:hAnsi="Arial" w:cs="Arial"/>
          <w:sz w:val="24"/>
          <w:szCs w:val="24"/>
        </w:rPr>
        <w:t>Fe-S</w:t>
      </w:r>
      <w:proofErr w:type="spellEnd"/>
      <w:r>
        <w:rPr>
          <w:rFonts w:ascii="Arial" w:hAnsi="Arial" w:cs="Arial"/>
          <w:sz w:val="24"/>
          <w:szCs w:val="24"/>
        </w:rPr>
        <w:t xml:space="preserve"> = aglomerados de ferro-enxofre, C1 = citocromo C1, b = citocromo b, a1-Cu = cobre associado com citocromo a1, ADP = difosfato de adenosina, ATP = adenosin</w:t>
      </w:r>
      <w:r>
        <w:rPr>
          <w:rFonts w:ascii="Arial" w:hAnsi="Arial" w:cs="Arial"/>
          <w:sz w:val="24"/>
          <w:szCs w:val="24"/>
        </w:rPr>
        <w:t xml:space="preserve">a trifosfato. As setas indicam o fluxo de elétrons através da via (retirado de </w:t>
      </w:r>
      <w:proofErr w:type="spellStart"/>
      <w:r>
        <w:rPr>
          <w:rFonts w:ascii="Arial" w:hAnsi="Arial" w:cs="Arial"/>
          <w:sz w:val="24"/>
          <w:szCs w:val="24"/>
        </w:rPr>
        <w:t>Molyneux</w:t>
      </w:r>
      <w:proofErr w:type="spellEnd"/>
      <w:r>
        <w:rPr>
          <w:rFonts w:ascii="Arial" w:hAnsi="Arial" w:cs="Arial"/>
          <w:sz w:val="24"/>
          <w:szCs w:val="24"/>
        </w:rPr>
        <w:t xml:space="preserve"> SL et al, 2008).</w:t>
      </w:r>
      <w:r>
        <w:rPr>
          <w:rFonts w:ascii="Arial" w:hAnsi="Arial" w:cs="Arial"/>
          <w:sz w:val="24"/>
          <w:szCs w:val="24"/>
          <w:vertAlign w:val="superscript"/>
        </w:rPr>
        <w:t>7</w:t>
      </w:r>
    </w:p>
    <w:p w14:paraId="6470D728" w14:textId="77777777" w:rsidR="00C10BE5" w:rsidRDefault="00C10BE5">
      <w:pPr>
        <w:spacing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7FB12D7" w14:textId="77777777" w:rsidR="00C10BE5" w:rsidRDefault="00ED21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Função Antioxidante </w:t>
      </w:r>
    </w:p>
    <w:p w14:paraId="560E9EDE" w14:textId="77777777" w:rsidR="00C10BE5" w:rsidRDefault="00ED21C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ser vital na síntese de ATP, a CoQ10 possui um papel crucial na bioenergética mitocondrial, atuando em todas as células do </w:t>
      </w:r>
      <w:r>
        <w:rPr>
          <w:rFonts w:ascii="Arial" w:hAnsi="Arial" w:cs="Arial"/>
          <w:sz w:val="24"/>
          <w:szCs w:val="24"/>
        </w:rPr>
        <w:t xml:space="preserve">organismo, </w:t>
      </w:r>
      <w:r>
        <w:rPr>
          <w:rFonts w:ascii="Arial" w:hAnsi="Arial" w:cs="Arial"/>
          <w:sz w:val="24"/>
          <w:szCs w:val="24"/>
        </w:rPr>
        <w:lastRenderedPageBreak/>
        <w:t>tornando-se essencial para a saúde. Devido a sua capacidade redox, torna-se útil na neutralização das espécies reativas de oxigênio, os radicais livres.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 A CoQ10 é o único antioxidante lipossolúvel sintetizado de forma endógena com capacidade d</w:t>
      </w:r>
      <w:r>
        <w:rPr>
          <w:rFonts w:ascii="Arial" w:hAnsi="Arial" w:cs="Arial"/>
          <w:sz w:val="24"/>
          <w:szCs w:val="24"/>
        </w:rPr>
        <w:t>e participar em reações de oxidação-redução, atuando na prevenção de danos ao DNA, proteínas e peroxidação lipídica, e estabilizando indiretamente os canais de cálcio para que não tenham uma sobrecarga de cálcio.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Na peroxidação lipídica atua ou sequestran</w:t>
      </w:r>
      <w:r>
        <w:rPr>
          <w:rFonts w:ascii="Arial" w:hAnsi="Arial" w:cs="Arial"/>
          <w:sz w:val="24"/>
          <w:szCs w:val="24"/>
        </w:rPr>
        <w:t>do os radicais livres ou reduzindo o radical α-</w:t>
      </w:r>
      <w:proofErr w:type="spellStart"/>
      <w:r>
        <w:rPr>
          <w:rFonts w:ascii="Arial" w:hAnsi="Arial" w:cs="Arial"/>
          <w:sz w:val="24"/>
          <w:szCs w:val="24"/>
        </w:rPr>
        <w:t>tocofexil</w:t>
      </w:r>
      <w:proofErr w:type="spellEnd"/>
      <w:r>
        <w:rPr>
          <w:rFonts w:ascii="Arial" w:hAnsi="Arial" w:cs="Arial"/>
          <w:sz w:val="24"/>
          <w:szCs w:val="24"/>
        </w:rPr>
        <w:t xml:space="preserve"> a α-tocoferol.</w:t>
      </w: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>
        <w:rPr>
          <w:rFonts w:ascii="Arial" w:hAnsi="Arial" w:cs="Arial"/>
          <w:sz w:val="24"/>
          <w:szCs w:val="24"/>
        </w:rPr>
        <w:t>Tem um papel muito similar a vitamina E, entretanto no caso desta vitamina dependemos exclusivamente da dieta e das reservas hepáticas, não ocorrendo síntese endógena, como para CoQ1</w:t>
      </w:r>
      <w:r>
        <w:rPr>
          <w:rFonts w:ascii="Arial" w:hAnsi="Arial" w:cs="Arial"/>
          <w:sz w:val="24"/>
          <w:szCs w:val="24"/>
        </w:rPr>
        <w:t xml:space="preserve">0. </w:t>
      </w:r>
    </w:p>
    <w:p w14:paraId="09F17F8C" w14:textId="77777777" w:rsidR="00C10BE5" w:rsidRDefault="00ED21C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Fontes de CoQ10</w:t>
      </w:r>
    </w:p>
    <w:p w14:paraId="10B6C99F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indivíduos saudáveis, os níveis normais de CoQ10 são mantidos por meio de duas vias: a exógena através da ingestão de alimentos e pela síntese endógena através do ciclo 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mevalonato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. Na produção endógena, o ciclo 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mevalonato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</w:t>
      </w:r>
      <w:r>
        <w:rPr>
          <w:rFonts w:ascii="Arial" w:eastAsia="Times New Roman" w:hAnsi="Arial" w:cs="Arial"/>
          <w:sz w:val="24"/>
          <w:szCs w:val="24"/>
          <w:lang w:eastAsia="pt-BR"/>
        </w:rPr>
        <w:t>senta como substrato inicial a acetil-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como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produto final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 colesterol, a CoQ10 e 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dolicol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produto este crucial na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glicosilação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proteica. Nesta via, a enzima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preniltransferase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será responsável pela síntese da cadeia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isoprenóide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lateral da CoQ10, </w:t>
      </w:r>
      <w:r>
        <w:rPr>
          <w:rFonts w:ascii="Arial" w:eastAsia="Times New Roman" w:hAnsi="Arial" w:cs="Arial"/>
          <w:sz w:val="24"/>
          <w:szCs w:val="24"/>
          <w:lang w:eastAsia="pt-BR"/>
        </w:rPr>
        <w:t>ocorrendo posteriormente uma outra condensação desta cadeia formada com 4-hidroxibenzoato.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eastAsia="pt-BR"/>
        </w:rPr>
        <w:t>Na via exógena, a CoQ10 é ingerida em sua forma oxidada, sendo posteriormente transformada, a nível dos eritrócitos em sua forma reduzida. Naturalmente é encontrad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em pequenas quantidades em diversos alimentos, mas os que contém quantidades significativas são as verduras escuras como o espinafre e legumes como o brócolis, grãos como a soja e amendoim, as oleaginosas como a nozes e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amêndoas, e principalmente as carn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es vermelha como coração e fígado, assim como em alguns peixes tipo a cavala e a sardinha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Porém, a dose de CoQ10 que se consegue obter dos alimentos é de 2-5mg/dia, e apenas cerca de 10% do que é ingerido é absorvido pelo trato gastrointestinal devido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sua baixa solubilidade em água e alto peso molecular, sendo insuficiente para suprir as demandas do organismo quando este se encontra em desequilíbrio redox.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1,16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F618F3C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CC0CCA8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Absorção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B783D65" w14:textId="77777777" w:rsidR="00C10BE5" w:rsidRDefault="00ED21C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indivíduos saudáveis, cerca de 95% da CoQ10 circulante no plasma </w:t>
      </w:r>
      <w:r>
        <w:rPr>
          <w:rFonts w:ascii="Arial" w:eastAsia="Arial" w:hAnsi="Arial" w:cs="Arial"/>
          <w:sz w:val="24"/>
          <w:szCs w:val="24"/>
        </w:rPr>
        <w:t>encontra-se na forma reduzida de ubiquinol.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Por ser hidrofóbica e ter grande peso molecular, a absorção da CoQ10 advinda da dieta acaba sendo lenta e limitada semelhante aos </w:t>
      </w:r>
      <w:proofErr w:type="spellStart"/>
      <w:r>
        <w:rPr>
          <w:rFonts w:ascii="Arial" w:eastAsia="Arial" w:hAnsi="Arial" w:cs="Arial"/>
          <w:sz w:val="24"/>
          <w:szCs w:val="24"/>
        </w:rPr>
        <w:t>lípides</w:t>
      </w:r>
      <w:proofErr w:type="spellEnd"/>
      <w:r>
        <w:rPr>
          <w:rFonts w:ascii="Arial" w:eastAsia="Arial" w:hAnsi="Arial" w:cs="Arial"/>
          <w:sz w:val="24"/>
          <w:szCs w:val="24"/>
        </w:rPr>
        <w:t>. Após a ingestão oral em 1-2 horas os níveis plasmáticos de CoQ10 começam</w:t>
      </w:r>
      <w:r>
        <w:rPr>
          <w:rFonts w:ascii="Arial" w:eastAsia="Arial" w:hAnsi="Arial" w:cs="Arial"/>
          <w:sz w:val="24"/>
          <w:szCs w:val="24"/>
        </w:rPr>
        <w:t xml:space="preserve"> a aumentar. A concentração máxima ocorre de 6 a 8 horas e a meia vida pode chegar a 34 horas.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17 </w:t>
      </w:r>
      <w:r>
        <w:rPr>
          <w:rFonts w:ascii="Arial" w:eastAsia="Arial" w:hAnsi="Arial" w:cs="Arial"/>
          <w:sz w:val="24"/>
          <w:szCs w:val="24"/>
        </w:rPr>
        <w:t>Sua absorção ocorre principalmente no intestino delgado, sendo então transportada para o fígado, formando o complexo de lipoproteínas.</w:t>
      </w:r>
      <w:r>
        <w:rPr>
          <w:rFonts w:ascii="Arial" w:eastAsia="Arial" w:hAnsi="Arial" w:cs="Arial"/>
          <w:sz w:val="24"/>
          <w:szCs w:val="24"/>
          <w:vertAlign w:val="superscript"/>
        </w:rPr>
        <w:t>18</w:t>
      </w:r>
      <w:r>
        <w:rPr>
          <w:rFonts w:ascii="Arial" w:hAnsi="Arial" w:cs="Arial"/>
          <w:sz w:val="24"/>
          <w:szCs w:val="24"/>
        </w:rPr>
        <w:t xml:space="preserve"> Para se transportar a </w:t>
      </w:r>
      <w:r>
        <w:rPr>
          <w:rFonts w:ascii="Arial" w:hAnsi="Arial" w:cs="Arial"/>
          <w:sz w:val="24"/>
          <w:szCs w:val="24"/>
        </w:rPr>
        <w:t>CoQ10 é acoplada nos quilomícrons, sendo captada pelo fígado,</w:t>
      </w:r>
      <w:r>
        <w:rPr>
          <w:rFonts w:ascii="Arial" w:hAnsi="Arial" w:cs="Arial"/>
          <w:sz w:val="24"/>
          <w:szCs w:val="24"/>
          <w:vertAlign w:val="superscript"/>
        </w:rPr>
        <w:t>17</w:t>
      </w:r>
      <w:r>
        <w:rPr>
          <w:rFonts w:ascii="Arial" w:hAnsi="Arial" w:cs="Arial"/>
          <w:sz w:val="24"/>
          <w:szCs w:val="24"/>
        </w:rPr>
        <w:t xml:space="preserve">e em seguida incorporada ao LDL que transporta 58% da CoQ10 e 26% pelo HDL. </w:t>
      </w:r>
      <w:r>
        <w:rPr>
          <w:rFonts w:ascii="Arial" w:eastAsia="Arial" w:hAnsi="Arial" w:cs="Arial"/>
          <w:sz w:val="24"/>
          <w:szCs w:val="24"/>
        </w:rPr>
        <w:t xml:space="preserve">Posteriormente, a CoQ10 é distribuída para diversos tecidos como no baço, </w:t>
      </w:r>
      <w:proofErr w:type="spellStart"/>
      <w:r>
        <w:rPr>
          <w:rFonts w:ascii="Arial" w:eastAsia="Arial" w:hAnsi="Arial" w:cs="Arial"/>
          <w:sz w:val="24"/>
          <w:szCs w:val="24"/>
        </w:rPr>
        <w:t>supra-renais</w:t>
      </w:r>
      <w:proofErr w:type="spellEnd"/>
      <w:r>
        <w:rPr>
          <w:rFonts w:ascii="Arial" w:eastAsia="Arial" w:hAnsi="Arial" w:cs="Arial"/>
          <w:sz w:val="24"/>
          <w:szCs w:val="24"/>
        </w:rPr>
        <w:t>, pulmões, rins e no miocárdio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As principais vias de eliminação da CoQ10 são as vias biliares e fecal, e uma pequena fração do que é absorvido acaba sendo eliminado pela urina.</w:t>
      </w:r>
      <w:r>
        <w:rPr>
          <w:rFonts w:ascii="Arial" w:eastAsia="Arial" w:hAnsi="Arial" w:cs="Arial"/>
          <w:sz w:val="24"/>
          <w:szCs w:val="24"/>
          <w:vertAlign w:val="superscript"/>
        </w:rPr>
        <w:t>19</w:t>
      </w:r>
    </w:p>
    <w:p w14:paraId="0ED828FB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Suplementação </w:t>
      </w:r>
    </w:p>
    <w:p w14:paraId="15A8DE22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No mercado atualmente existem diversas marcas de produtos comerciais com CoQ10, seja em pó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cápsulas ou óleo, na forma reduzida ou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oxidada e em diferentes doses, significando diferentes formas de biodisponibilidade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vertAlign w:val="superscript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Fórmulas solubilizadas de CoQ10 tem maior biodisponibilidade e apresentam taxas de absorção mais rápidas quando comparadas as com</w:t>
      </w:r>
      <w:r>
        <w:rPr>
          <w:rFonts w:ascii="Arial" w:eastAsia="Arial" w:hAnsi="Arial" w:cs="Arial"/>
          <w:sz w:val="24"/>
          <w:szCs w:val="24"/>
        </w:rPr>
        <w:t xml:space="preserve"> bases em pó, comprimidos, cápsulas e suspensões de óleo à base de pó.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20 </w:t>
      </w:r>
      <w:r>
        <w:rPr>
          <w:rFonts w:ascii="Arial" w:eastAsia="Arial" w:hAnsi="Arial" w:cs="Arial"/>
          <w:sz w:val="24"/>
          <w:szCs w:val="24"/>
        </w:rPr>
        <w:t xml:space="preserve">Quando comparadas as formas solubilizadas do </w:t>
      </w:r>
      <w:proofErr w:type="spellStart"/>
      <w:r>
        <w:rPr>
          <w:rFonts w:ascii="Arial" w:eastAsia="Arial" w:hAnsi="Arial" w:cs="Arial"/>
          <w:sz w:val="24"/>
          <w:szCs w:val="24"/>
        </w:rPr>
        <w:t>ubiquinol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ubiquinona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ubiquinol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mostrou-se ser melhor absorvido.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14:paraId="0A5E73A1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Diversos ensaios clínicos conduzidos nas mais diversas doenças admi</w:t>
      </w:r>
      <w:r>
        <w:rPr>
          <w:rFonts w:ascii="Arial" w:hAnsi="Arial" w:cs="Arial"/>
          <w:sz w:val="24"/>
          <w:szCs w:val="24"/>
        </w:rPr>
        <w:t>nistraram uma variedade de dosagens de CoQ10 e relatam que os efeitos adversos foram mais comuns em doses acima de 1200mg/dia</w:t>
      </w:r>
      <w:r>
        <w:rPr>
          <w:rFonts w:ascii="Arial" w:hAnsi="Arial" w:cs="Arial"/>
          <w:sz w:val="24"/>
          <w:szCs w:val="24"/>
          <w:vertAlign w:val="superscript"/>
        </w:rPr>
        <w:t>21</w:t>
      </w:r>
      <w:r>
        <w:rPr>
          <w:rFonts w:ascii="Arial" w:hAnsi="Arial" w:cs="Arial"/>
          <w:sz w:val="24"/>
          <w:szCs w:val="24"/>
        </w:rPr>
        <w:t xml:space="preserve">, considerando seguras as doses de 22 a 400 mg/dia. </w:t>
      </w:r>
      <w:r>
        <w:rPr>
          <w:rFonts w:ascii="Arial" w:hAnsi="Arial" w:cs="Arial"/>
          <w:sz w:val="24"/>
          <w:szCs w:val="24"/>
          <w:vertAlign w:val="superscript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86A095" w14:textId="77777777" w:rsidR="00C10BE5" w:rsidRDefault="00C10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BCB5DB5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Contraindicações e Efeitos adversos </w:t>
      </w:r>
    </w:p>
    <w:p w14:paraId="63D6999B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A suplementação com CoQ10 é bastan</w:t>
      </w:r>
      <w:r>
        <w:rPr>
          <w:rFonts w:ascii="Arial" w:eastAsia="Times New Roman" w:hAnsi="Arial" w:cs="Arial"/>
          <w:sz w:val="24"/>
          <w:szCs w:val="24"/>
          <w:lang w:eastAsia="pt-BR"/>
        </w:rPr>
        <w:t>te segura, diversos ensaios clínicos descritos na literatura com doses elevadas não apresentaram significantes efeitos adversos que pudessem comprometer a terapia.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23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Durante a gravidez, aleitamento materno ou em crianças pequenas, sua </w:t>
      </w:r>
      <w:r>
        <w:rPr>
          <w:rFonts w:ascii="Arial" w:eastAsia="Times New Roman" w:hAnsi="Arial" w:cs="Arial"/>
          <w:sz w:val="24"/>
          <w:szCs w:val="24"/>
          <w:lang w:eastAsia="pt-BR"/>
        </w:rPr>
        <w:t>administração deve ser feita com cautela pois, seus efeitos durante esses períodos não estão bem esclarecidos. Os efeitos gastrointestinais como desconforto abdominal, diarreia, vômito, náusea, assim como cefaleia e erupção cutânea alérgica são descritos e</w:t>
      </w:r>
      <w:r>
        <w:rPr>
          <w:rFonts w:ascii="Arial" w:eastAsia="Times New Roman" w:hAnsi="Arial" w:cs="Arial"/>
          <w:sz w:val="24"/>
          <w:szCs w:val="24"/>
          <w:lang w:eastAsia="pt-BR"/>
        </w:rPr>
        <w:t>m menos de 1% dos pacientes em ensaios clínicos.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Devido ao potencial efeito antiplaquetário e hipotensor,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18 </w:t>
      </w:r>
      <w:r>
        <w:rPr>
          <w:rFonts w:ascii="Arial" w:eastAsia="Times New Roman" w:hAnsi="Arial" w:cs="Arial"/>
          <w:sz w:val="24"/>
          <w:szCs w:val="24"/>
          <w:lang w:eastAsia="pt-BR"/>
        </w:rPr>
        <w:t>pacientes que fazem uso de destes medicamentos se aconselha o monitoramento. Diversos estudos relatam a diminuição nos valores de CoQ10 após o uso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combinado com inibidores da HMG-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redutase (estatinas), devido ao fato de que tanto a CoQ10 como o colesterol são sintetizados pela via 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mevalonato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(Figura 2). A redução de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CoQ10 nas concentrações séricas pode chegar até 54%.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25,26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magnitude da dimin</w:t>
      </w:r>
      <w:r>
        <w:rPr>
          <w:rFonts w:ascii="Arial" w:eastAsia="Times New Roman" w:hAnsi="Arial" w:cs="Arial"/>
          <w:sz w:val="24"/>
          <w:szCs w:val="24"/>
          <w:lang w:eastAsia="pt-BR"/>
        </w:rPr>
        <w:t>uição da CoQ10 em associação com as estatinas mostrou-se relacionada com a dose e reversível com a cessação. Existe uma hipótese que esta diminuição seria a causa dos efeitos adversos associados as estatinas, e a suplementação de CoQ10 durante o tratamento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estatinas pode ser um possível tratamento mediador desde que bem monitorado.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27,28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ACFB9A2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4EE0BF31" wp14:editId="1F1393BE">
            <wp:extent cx="5905500" cy="3057525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4C06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Figura 3. Ciclo 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Mevalonato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 Inibição da HMG-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redutase por estatinas incluindo a CoQ10 (</w:t>
      </w:r>
      <w:r>
        <w:rPr>
          <w:rFonts w:ascii="Arial" w:hAnsi="Arial" w:cs="Arial"/>
          <w:sz w:val="24"/>
          <w:szCs w:val="24"/>
        </w:rPr>
        <w:t xml:space="preserve">retirado de </w:t>
      </w:r>
      <w:proofErr w:type="spellStart"/>
      <w:r>
        <w:rPr>
          <w:rFonts w:ascii="Arial" w:hAnsi="Arial" w:cs="Arial"/>
          <w:sz w:val="24"/>
          <w:szCs w:val="24"/>
        </w:rPr>
        <w:t>Molyneux</w:t>
      </w:r>
      <w:proofErr w:type="spellEnd"/>
      <w:r>
        <w:rPr>
          <w:rFonts w:ascii="Arial" w:hAnsi="Arial" w:cs="Arial"/>
          <w:sz w:val="24"/>
          <w:szCs w:val="24"/>
        </w:rPr>
        <w:t xml:space="preserve"> SL et al, 2008)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7</w:t>
      </w:r>
    </w:p>
    <w:p w14:paraId="089E69A9" w14:textId="77777777" w:rsidR="00C10BE5" w:rsidRDefault="00C10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04825F4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Mensuração no Plasma 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Métodos de Análise</w:t>
      </w:r>
    </w:p>
    <w:p w14:paraId="2AE4C5E7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No ser humano o pico de concentração da CoQ10 acontece por volta dos 20 anos.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29 </w:t>
      </w:r>
      <w:r>
        <w:rPr>
          <w:rFonts w:ascii="Arial" w:eastAsia="Times New Roman" w:hAnsi="Arial" w:cs="Arial"/>
          <w:sz w:val="24"/>
          <w:szCs w:val="24"/>
          <w:lang w:eastAsia="pt-BR"/>
        </w:rPr>
        <w:t>No plasma, a quantidade encontrada em adultos pode variar de 0,5-1,7µg/ml,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30,31,32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sendo que aproximadamente 75% está na forma reduzida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ubiquinol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as ma</w:t>
      </w:r>
      <w:r>
        <w:rPr>
          <w:rFonts w:ascii="Arial" w:eastAsia="Times New Roman" w:hAnsi="Arial" w:cs="Arial"/>
          <w:sz w:val="24"/>
          <w:szCs w:val="24"/>
          <w:lang w:eastAsia="pt-BR"/>
        </w:rPr>
        <w:t>iores concentrações estão nos músculos.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entanto, diversos fatores podem interferir nos níveis de CoQ10, tanto para seu aumento quanto diminuição. A presença de radicais livres e de outras espécies reativas de oxigênio e de nitrogênio, relacionadas a 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ertas doenças como diabetes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mellitus, hipercolesterolemia, hipertrigliceridemia, doença de Alzheimer e deficiência de vitamina A em alguns órgãos, fazem com os níveis de CoQ10 se elevem a fim de aumentar as defesas antioxidantes contra a produção dos radic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ais livres decorrentes destas doenças. No envelhecimento, os níveis de CoQ10 podem diminuir de 30 a 60% nos órgãos. Indivíduos com cardiopatias,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tireoidopatias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certas deficiências genéticas como mutações primarias e secundárias que afetam a biossíntese 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CoQ10 e até atletas de alta performance também parecem sofrer influência nos níveis de CoQ10.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Segundo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Bentinger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et al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>, a quantidade, estrutura e tamanho mitocondrial ainda pode ser mais um fator para aumento ou diminuição dos níveis de CoQ10 no organi</w:t>
      </w:r>
      <w:r>
        <w:rPr>
          <w:rFonts w:ascii="Arial" w:eastAsia="Times New Roman" w:hAnsi="Arial" w:cs="Arial"/>
          <w:sz w:val="24"/>
          <w:szCs w:val="24"/>
          <w:lang w:eastAsia="pt-BR"/>
        </w:rPr>
        <w:t>smo.</w:t>
      </w:r>
    </w:p>
    <w:p w14:paraId="2588F49A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Para se dosar os níveis de CoQ10, a técnica quase sempre utilizada é a Cromatografia Líquida de Alta Performance 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(HPLC</w:t>
      </w:r>
      <w:r>
        <w:rPr>
          <w:rFonts w:ascii="Arial" w:eastAsia="Times New Roman" w:hAnsi="Arial" w:cs="Arial"/>
          <w:sz w:val="24"/>
          <w:szCs w:val="24"/>
          <w:lang w:eastAsia="pt-BR"/>
        </w:rPr>
        <w:t>), após a extração do plasma ou tecido. A CoQ10 é altamente hidrofóbica e por isso sua análise é feita em duas fases, a primeira é 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eparada em uma fase inversa altamente hidrofóbica com uma coluna C18 com alta carga de carbono e depois uma fase móvel baseada em álcoois inferiores como hexano ou heptano incluído.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7</w:t>
      </w:r>
    </w:p>
    <w:p w14:paraId="121C8EF1" w14:textId="77777777" w:rsidR="00C10BE5" w:rsidRDefault="00C10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14:paraId="6CA4629A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>Efeitos da CoQ10 na Inflamação e no Metabolismo de Gordura</w:t>
      </w:r>
    </w:p>
    <w:p w14:paraId="7967B0D8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t>inflamação é a resposta ao dano causado por fatores endógenos ou exógenos em tecidos ou órgãos e auxilia na restauração da homeostase prejudicada.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Durante este processo, diversas citocinas inflamatórias são geradas como o fator de necrose tumoral- α (TNF</w:t>
      </w:r>
      <w:r>
        <w:rPr>
          <w:rFonts w:ascii="Arial" w:eastAsia="Times New Roman" w:hAnsi="Arial" w:cs="Arial"/>
          <w:sz w:val="24"/>
          <w:szCs w:val="24"/>
          <w:lang w:eastAsia="pt-BR"/>
        </w:rPr>
        <w:t>-α) e as interleucinas (IL-1 e IL-6). Na inflamação local, a infiltração dos macrófagos e ativação dos fibroblastos são duas respostas que cronicamente irão desencadear a inflamação do tecido adiposo.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36,37</w:t>
      </w:r>
    </w:p>
    <w:p w14:paraId="19F834E6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  <w:t xml:space="preserve">As mitocôndrias desempenham um papel fundamental </w:t>
      </w:r>
      <w:r>
        <w:rPr>
          <w:rFonts w:ascii="Arial" w:eastAsia="Times New Roman" w:hAnsi="Arial" w:cs="Arial"/>
          <w:sz w:val="24"/>
          <w:szCs w:val="24"/>
          <w:lang w:eastAsia="pt-BR"/>
        </w:rPr>
        <w:t>na diferenciação e maturação dos adipócitos,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além de gerar ATP suficientes para suportar os processos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lipogênicos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consomem energia durante a diferenciação dos pré-adipócitos.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disfunção mitocondrial e consequente diminuição nos níveis de CoQ10 pod</w:t>
      </w:r>
      <w:r>
        <w:rPr>
          <w:rFonts w:ascii="Arial" w:eastAsia="Times New Roman" w:hAnsi="Arial" w:cs="Arial"/>
          <w:sz w:val="24"/>
          <w:szCs w:val="24"/>
          <w:lang w:eastAsia="pt-BR"/>
        </w:rPr>
        <w:t>em ser encontradas em indivíduos obesos que apresentam aumento no deposito de gordura no organismo.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40 </w:t>
      </w:r>
      <w:r>
        <w:rPr>
          <w:rFonts w:ascii="Arial" w:eastAsia="Times New Roman" w:hAnsi="Arial" w:cs="Arial"/>
          <w:sz w:val="24"/>
          <w:szCs w:val="24"/>
          <w:lang w:eastAsia="pt-BR"/>
        </w:rPr>
        <w:t>Entre os contribuintes para a disfunção mitocondrial está o fornecimento excessivo de nutrientes que posteriormente irá contribuir para a formação das esp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écies reativas de oxigênio e produção de espécies lipídicas tóxicas, estresse do reticulo endoplasmático, processos de envelhecimento e/ou pró-inflamatórios e fissão mitocondrial, de forma que juntos ou individualmente contribuem para o desenvolvimento da </w:t>
      </w:r>
      <w:r>
        <w:rPr>
          <w:rFonts w:ascii="Arial" w:eastAsia="Times New Roman" w:hAnsi="Arial" w:cs="Arial"/>
          <w:sz w:val="24"/>
          <w:szCs w:val="24"/>
          <w:lang w:eastAsia="pt-BR"/>
        </w:rPr>
        <w:t>resistência à insulina e obesidade em todo o organismo.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deposição de gordura no organismo está relacionada com os altos níveis de hiperglicemia, hipertrigliceridemia e hipertensão arterial, características comuns da Síndrome Metabólica. Entre os efeito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 da CoQ10 está a sua capacidade de evitar a adipogênese induzida por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rosiglitazona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ratos obesos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 inibir a diferenciação dos adipócitos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43</w:t>
      </w:r>
      <w:r>
        <w:rPr>
          <w:rFonts w:ascii="Arial" w:eastAsia="Times New Roman" w:hAnsi="Arial" w:cs="Arial"/>
          <w:sz w:val="24"/>
          <w:szCs w:val="24"/>
          <w:lang w:eastAsia="pt-BR"/>
        </w:rPr>
        <w:t>, e o tratamento feito com CoQ10 aumentou a oxidação da gordura e gasto energético no tecido adiposo inguinal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branco.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42</w:t>
      </w:r>
    </w:p>
    <w:p w14:paraId="62121AB8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ab/>
      </w:r>
    </w:p>
    <w:p w14:paraId="6B97E367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>Relação da CoQ1O com a Síndrome Metabólica e Doença Hepática Gordurosa não Alcóolica</w:t>
      </w:r>
    </w:p>
    <w:p w14:paraId="3CFBC919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A Síndrome Metabólica é caracterizada por um conjunto complexo de fatores de risco que incluem a obesidade abdominal, hiperglicemia, dislipidemia e hipertens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ão arterial, e quando presente, aumenta o risco de eventos cardiovasculares e diabetes mellitus do tipo 2 em aproximadamente de 2 a 6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vezes.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5,44 </w:t>
      </w:r>
      <w:r>
        <w:rPr>
          <w:rFonts w:ascii="Arial" w:eastAsia="Times New Roman" w:hAnsi="Arial" w:cs="Arial"/>
          <w:sz w:val="24"/>
          <w:szCs w:val="24"/>
          <w:lang w:eastAsia="pt-BR"/>
        </w:rPr>
        <w:t>A crescente epidemia de SM e suas complicações foram acompanhadas por um aumento nas alterações no fígado, incl</w:t>
      </w:r>
      <w:r>
        <w:rPr>
          <w:rFonts w:ascii="Arial" w:eastAsia="Times New Roman" w:hAnsi="Arial" w:cs="Arial"/>
          <w:sz w:val="24"/>
          <w:szCs w:val="24"/>
          <w:lang w:eastAsia="pt-BR"/>
        </w:rPr>
        <w:t>uindo a doença hepática gordurosa não alcoólica (DHGNA). Como resultado da resistência à insulina, a DHGNA é considerada um transtorno metabólico manifestado no fígado.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DHGNA é a principal causa de anormalidade da função hepática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46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é </w:t>
      </w:r>
      <w:r>
        <w:rPr>
          <w:rFonts w:ascii="Arial" w:eastAsia="Times New Roman" w:hAnsi="Arial" w:cs="Arial"/>
          <w:sz w:val="24"/>
          <w:szCs w:val="24"/>
          <w:lang w:eastAsia="pt-BR"/>
        </w:rPr>
        <w:t>representada pela acumulação excessiva de ácidos graxos nos hepatócitos favorecendo a lipogênese e inibindo a lipólise, aumentando demasiadamente o aporte de ácidos graxos, seguida do aumento do estresse oxidativo, estresse do retículo endoplasmático, disf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unção mitocondrial 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endotoxemia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crônica.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o tempo, este fígado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esteatótico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torna-se susceptível a lesão hepatocelular, inflamação e fibrose.</w:t>
      </w:r>
    </w:p>
    <w:p w14:paraId="225EA677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hiperglicemia diabética e transtornos metabólicos são uns dos principais responsáveis pela inatividade 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sistema antioxidante e diminuição da função mitocondrial. Em pacientes diabéticos as concentrações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CoQ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podem estar reduzidas.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48,49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suplementação com 100 mg/dia de CoQ10 durante 8 semanas melhorou os níveis de </w:t>
      </w:r>
      <w:r>
        <w:rPr>
          <w:rFonts w:ascii="Arial" w:hAnsi="Arial" w:cs="Arial"/>
          <w:sz w:val="24"/>
          <w:szCs w:val="24"/>
        </w:rPr>
        <w:t>séricos de insulina, HOMA-IR, HOMA-B em pa</w:t>
      </w:r>
      <w:r>
        <w:rPr>
          <w:rFonts w:ascii="Arial" w:hAnsi="Arial" w:cs="Arial"/>
          <w:sz w:val="24"/>
          <w:szCs w:val="24"/>
        </w:rPr>
        <w:t>cientes obesos com SM, diabetes mellitus 2 e doença coronariana e aumentou as concentrações plasmáticas da capacidade antioxidante total.</w:t>
      </w:r>
      <w:r>
        <w:rPr>
          <w:rFonts w:ascii="Arial" w:hAnsi="Arial" w:cs="Arial"/>
          <w:sz w:val="24"/>
          <w:szCs w:val="24"/>
          <w:vertAlign w:val="superscript"/>
        </w:rPr>
        <w:t xml:space="preserve">50 </w:t>
      </w:r>
      <w:r>
        <w:rPr>
          <w:rFonts w:ascii="Arial" w:hAnsi="Arial" w:cs="Arial"/>
          <w:sz w:val="24"/>
          <w:szCs w:val="24"/>
        </w:rPr>
        <w:t>No entanto em um outro estudo, 200 mg de Co-Q10 diariamente durante 6 meses não melhoraram o controle glicêmico ou n</w:t>
      </w:r>
      <w:r>
        <w:rPr>
          <w:rFonts w:ascii="Arial" w:hAnsi="Arial" w:cs="Arial"/>
          <w:sz w:val="24"/>
          <w:szCs w:val="24"/>
        </w:rPr>
        <w:t>íveis lipídicos em pacientes diabéticos tipo 2.</w:t>
      </w:r>
      <w:r>
        <w:rPr>
          <w:rFonts w:ascii="Arial" w:hAnsi="Arial" w:cs="Arial"/>
          <w:sz w:val="24"/>
          <w:szCs w:val="24"/>
          <w:vertAlign w:val="superscript"/>
        </w:rPr>
        <w:t>51</w:t>
      </w:r>
      <w:r>
        <w:rPr>
          <w:rFonts w:ascii="Arial" w:hAnsi="Arial" w:cs="Arial"/>
          <w:sz w:val="24"/>
          <w:szCs w:val="24"/>
        </w:rPr>
        <w:t xml:space="preserve"> Pesquisas adicionais são necessários para avaliar a ação da CoQ10 no controle glicêmico.</w:t>
      </w:r>
    </w:p>
    <w:p w14:paraId="2424E9AA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</w:rPr>
        <w:t xml:space="preserve"> O aumento da intolerância à glicose e o estresse oxidativo desempenham um papel crucial no desenvolvimento da disfu</w:t>
      </w:r>
      <w:r>
        <w:rPr>
          <w:rFonts w:ascii="Arial" w:hAnsi="Arial" w:cs="Arial"/>
          <w:sz w:val="24"/>
          <w:szCs w:val="24"/>
        </w:rPr>
        <w:t>nção endotelial e hipertensão arterial em pacientes com SM. Uma meta-</w:t>
      </w:r>
      <w:proofErr w:type="gramStart"/>
      <w:r>
        <w:rPr>
          <w:rFonts w:ascii="Arial" w:hAnsi="Arial" w:cs="Arial"/>
          <w:sz w:val="24"/>
          <w:szCs w:val="24"/>
        </w:rPr>
        <w:t>analise</w:t>
      </w:r>
      <w:proofErr w:type="gramEnd"/>
      <w:r>
        <w:rPr>
          <w:rFonts w:ascii="Arial" w:hAnsi="Arial" w:cs="Arial"/>
          <w:sz w:val="24"/>
          <w:szCs w:val="24"/>
        </w:rPr>
        <w:t xml:space="preserve"> realizada para </w:t>
      </w:r>
      <w:r>
        <w:rPr>
          <w:rFonts w:ascii="Arial" w:hAnsi="Arial" w:cs="Arial"/>
          <w:sz w:val="24"/>
          <w:szCs w:val="24"/>
        </w:rPr>
        <w:lastRenderedPageBreak/>
        <w:t>avaliar os efeitos da suplementação com CoQ10 no tratamento da hipertensão encontrou resultados benéficos em sua suplementação. Dentre os achados, a pressão arteria</w:t>
      </w:r>
      <w:r>
        <w:rPr>
          <w:rFonts w:ascii="Arial" w:hAnsi="Arial" w:cs="Arial"/>
          <w:sz w:val="24"/>
          <w:szCs w:val="24"/>
        </w:rPr>
        <w:t>l final foi menor em comparação aos níveis iniciais antes da suplementação com CoQ10. A suplementação com CoQ10 mostrou ser eficaz na redução da pressão arterial em diabéticos portadores de SM.</w:t>
      </w:r>
      <w:r>
        <w:rPr>
          <w:rFonts w:ascii="Arial" w:hAnsi="Arial" w:cs="Arial"/>
          <w:sz w:val="24"/>
          <w:szCs w:val="24"/>
          <w:vertAlign w:val="superscript"/>
        </w:rPr>
        <w:t xml:space="preserve">52 </w:t>
      </w:r>
      <w:r>
        <w:rPr>
          <w:rFonts w:ascii="Arial" w:hAnsi="Arial" w:cs="Arial"/>
          <w:sz w:val="24"/>
          <w:szCs w:val="24"/>
        </w:rPr>
        <w:t>Porém, em um estudo realizado com portadores de SM que apres</w:t>
      </w:r>
      <w:r>
        <w:rPr>
          <w:rFonts w:ascii="Arial" w:hAnsi="Arial" w:cs="Arial"/>
          <w:sz w:val="24"/>
          <w:szCs w:val="24"/>
        </w:rPr>
        <w:t>entavam controle inadequado da pressão arterial, a suplementação com 100mg/dia durante 12 semanas de CoQ10 não foi associada a quaisquer alterações clinicamente relevantes na pressão arterial.</w:t>
      </w:r>
      <w:r>
        <w:rPr>
          <w:rFonts w:ascii="Arial" w:hAnsi="Arial" w:cs="Arial"/>
          <w:sz w:val="24"/>
          <w:szCs w:val="24"/>
          <w:vertAlign w:val="superscript"/>
        </w:rPr>
        <w:t>53</w:t>
      </w:r>
      <w:r>
        <w:rPr>
          <w:rFonts w:ascii="Arial" w:hAnsi="Arial" w:cs="Arial"/>
          <w:sz w:val="24"/>
          <w:szCs w:val="24"/>
        </w:rPr>
        <w:t xml:space="preserve"> Outro estudo mostrou que a suplementação com 50 mg/dia de CoQ</w:t>
      </w:r>
      <w:r>
        <w:rPr>
          <w:rFonts w:ascii="Arial" w:hAnsi="Arial" w:cs="Arial"/>
          <w:sz w:val="24"/>
          <w:szCs w:val="24"/>
        </w:rPr>
        <w:t>10 administradas duas vezes ao dia por 10 semanas, reduziu a hipertensão arterial.</w:t>
      </w:r>
      <w:r>
        <w:rPr>
          <w:rFonts w:ascii="Arial" w:hAnsi="Arial" w:cs="Arial"/>
          <w:sz w:val="24"/>
          <w:szCs w:val="24"/>
          <w:vertAlign w:val="superscript"/>
        </w:rPr>
        <w:t>54</w:t>
      </w:r>
      <w:r>
        <w:rPr>
          <w:rFonts w:ascii="Arial" w:hAnsi="Arial" w:cs="Arial"/>
          <w:sz w:val="24"/>
          <w:szCs w:val="24"/>
        </w:rPr>
        <w:t xml:space="preserve"> Uma das teorias propostas para explicar os efeitos da CoQ10 na redução da pressão arterial seria devido a diminuição da resistência vascular periférica através da preserva</w:t>
      </w:r>
      <w:r>
        <w:rPr>
          <w:rFonts w:ascii="Arial" w:hAnsi="Arial" w:cs="Arial"/>
          <w:sz w:val="24"/>
          <w:szCs w:val="24"/>
        </w:rPr>
        <w:t>ção da biodisponibilidade do óxido nítrico.</w:t>
      </w:r>
      <w:r>
        <w:rPr>
          <w:rFonts w:ascii="Arial" w:hAnsi="Arial" w:cs="Arial"/>
          <w:sz w:val="24"/>
          <w:szCs w:val="24"/>
          <w:vertAlign w:val="superscript"/>
        </w:rPr>
        <w:t>16</w:t>
      </w:r>
    </w:p>
    <w:p w14:paraId="3724EEB5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sz w:val="24"/>
          <w:szCs w:val="24"/>
        </w:rPr>
        <w:tab/>
        <w:t>A DHGNA está associada com obesidade central, resistência à insulina e dislipidemia, características comuns da SM, sendo descrita como sua manifestação hepática.</w:t>
      </w:r>
      <w:r>
        <w:rPr>
          <w:rFonts w:ascii="Arial" w:hAnsi="Arial" w:cs="Arial"/>
          <w:sz w:val="24"/>
          <w:szCs w:val="24"/>
          <w:vertAlign w:val="superscript"/>
        </w:rPr>
        <w:t xml:space="preserve">45 </w:t>
      </w:r>
      <w:r>
        <w:rPr>
          <w:rFonts w:ascii="Arial" w:eastAsia="BSGulliver" w:hAnsi="Arial" w:cs="Arial"/>
          <w:sz w:val="24"/>
          <w:szCs w:val="24"/>
        </w:rPr>
        <w:t>Dados descrevem que 60 % dos indivíduos com S</w:t>
      </w:r>
      <w:r>
        <w:rPr>
          <w:rFonts w:ascii="Arial" w:eastAsia="BSGulliver" w:hAnsi="Arial" w:cs="Arial"/>
          <w:sz w:val="24"/>
          <w:szCs w:val="24"/>
        </w:rPr>
        <w:t>M apresentam DHGNA, indicando uma forte correlação entre os dois distúrbios.</w:t>
      </w:r>
      <w:r>
        <w:rPr>
          <w:rFonts w:ascii="Arial" w:eastAsia="BSGulliver" w:hAnsi="Arial" w:cs="Arial"/>
          <w:sz w:val="24"/>
          <w:szCs w:val="24"/>
          <w:vertAlign w:val="superscript"/>
        </w:rPr>
        <w:t>55</w:t>
      </w:r>
      <w:r>
        <w:rPr>
          <w:rFonts w:ascii="Arial" w:eastAsia="BSGulliver" w:hAnsi="Arial" w:cs="Arial"/>
          <w:sz w:val="24"/>
          <w:szCs w:val="24"/>
        </w:rPr>
        <w:t xml:space="preserve"> O estresse oxidativo e a inflamação são responsáveis pelos danos hepáticos. No fígado como resultado dos distúrbios relacionados a absorção, síntese, degradação e secreção de ác</w:t>
      </w:r>
      <w:r>
        <w:rPr>
          <w:rFonts w:ascii="Arial" w:eastAsia="BSGulliver" w:hAnsi="Arial" w:cs="Arial"/>
          <w:sz w:val="24"/>
          <w:szCs w:val="24"/>
        </w:rPr>
        <w:t xml:space="preserve">idos graxos ocorre a esteatose </w:t>
      </w:r>
      <w:proofErr w:type="spellStart"/>
      <w:r>
        <w:rPr>
          <w:rFonts w:ascii="Arial" w:eastAsia="BSGulliver" w:hAnsi="Arial" w:cs="Arial"/>
          <w:sz w:val="24"/>
          <w:szCs w:val="24"/>
        </w:rPr>
        <w:t>macrovesicular</w:t>
      </w:r>
      <w:proofErr w:type="spellEnd"/>
      <w:r>
        <w:rPr>
          <w:rFonts w:ascii="Arial" w:eastAsia="BSGulliver" w:hAnsi="Arial" w:cs="Arial"/>
          <w:sz w:val="24"/>
          <w:szCs w:val="24"/>
        </w:rPr>
        <w:t>, decorrente principalmente da esterificação dos ácidos graxos em triglicérides e diminuição do transporte de triglicérides para fora do fígado. Em conjunto, por consequência das alterações hepáticas, ocorre o e</w:t>
      </w:r>
      <w:r>
        <w:rPr>
          <w:rFonts w:ascii="Arial" w:eastAsia="BSGulliver" w:hAnsi="Arial" w:cs="Arial"/>
          <w:sz w:val="24"/>
          <w:szCs w:val="24"/>
        </w:rPr>
        <w:t xml:space="preserve">stresse oxidativo que desencadeia a peroxidação lipídica e consequente liberação de citocinas </w:t>
      </w:r>
      <w:r>
        <w:rPr>
          <w:rFonts w:ascii="Arial" w:eastAsia="BSGulliver" w:hAnsi="Arial" w:cs="Arial"/>
          <w:sz w:val="24"/>
          <w:szCs w:val="24"/>
        </w:rPr>
        <w:lastRenderedPageBreak/>
        <w:t>inflamatórias.</w:t>
      </w:r>
      <w:r>
        <w:rPr>
          <w:rFonts w:ascii="Arial" w:eastAsia="BSGulliver" w:hAnsi="Arial" w:cs="Arial"/>
          <w:sz w:val="24"/>
          <w:szCs w:val="24"/>
          <w:vertAlign w:val="superscript"/>
        </w:rPr>
        <w:t>56</w:t>
      </w:r>
      <w:r>
        <w:rPr>
          <w:rFonts w:ascii="Arial" w:eastAsia="BSGulliver" w:hAnsi="Arial" w:cs="Arial"/>
          <w:sz w:val="24"/>
          <w:szCs w:val="24"/>
        </w:rPr>
        <w:t xml:space="preserve"> Entre as consequências da DHGNA está a </w:t>
      </w:r>
      <w:proofErr w:type="spellStart"/>
      <w:r>
        <w:rPr>
          <w:rFonts w:ascii="Arial" w:hAnsi="Arial" w:cs="Arial"/>
          <w:sz w:val="24"/>
          <w:szCs w:val="24"/>
        </w:rPr>
        <w:t>esteato</w:t>
      </w:r>
      <w:proofErr w:type="spellEnd"/>
      <w:r>
        <w:rPr>
          <w:rFonts w:ascii="Arial" w:hAnsi="Arial" w:cs="Arial"/>
          <w:sz w:val="24"/>
          <w:szCs w:val="24"/>
        </w:rPr>
        <w:t>-hepatite, com potencial evolução para fibrose e cirrose, esta última com complicações dramáticas c</w:t>
      </w:r>
      <w:r>
        <w:rPr>
          <w:rFonts w:ascii="Arial" w:hAnsi="Arial" w:cs="Arial"/>
          <w:sz w:val="24"/>
          <w:szCs w:val="24"/>
        </w:rPr>
        <w:t>omo o hepatocarcinoma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57</w:t>
      </w:r>
    </w:p>
    <w:p w14:paraId="1EE66854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Alguns estudos recentes mostraram que a </w:t>
      </w:r>
      <w:r>
        <w:rPr>
          <w:rFonts w:ascii="Arial" w:hAnsi="Arial" w:cs="Arial"/>
          <w:sz w:val="24"/>
          <w:szCs w:val="24"/>
        </w:rPr>
        <w:t xml:space="preserve">suplementação com CoQ10 pode ser uma aliada no tratamento da DHGNA. </w:t>
      </w:r>
      <w:proofErr w:type="spellStart"/>
      <w:r>
        <w:rPr>
          <w:rFonts w:ascii="Arial" w:hAnsi="Arial" w:cs="Arial"/>
          <w:sz w:val="24"/>
          <w:szCs w:val="24"/>
        </w:rPr>
        <w:t>Farhangi</w:t>
      </w:r>
      <w:proofErr w:type="spellEnd"/>
      <w:r>
        <w:rPr>
          <w:rFonts w:ascii="Arial" w:hAnsi="Arial" w:cs="Arial"/>
          <w:sz w:val="24"/>
          <w:szCs w:val="24"/>
        </w:rPr>
        <w:t xml:space="preserve"> et al,</w:t>
      </w:r>
      <w:r>
        <w:rPr>
          <w:rFonts w:ascii="Arial" w:hAnsi="Arial" w:cs="Arial"/>
          <w:sz w:val="24"/>
          <w:szCs w:val="24"/>
          <w:vertAlign w:val="superscript"/>
        </w:rPr>
        <w:t xml:space="preserve">58 </w:t>
      </w:r>
      <w:r>
        <w:rPr>
          <w:rFonts w:ascii="Arial" w:hAnsi="Arial" w:cs="Arial"/>
          <w:sz w:val="24"/>
          <w:szCs w:val="24"/>
        </w:rPr>
        <w:t xml:space="preserve">após 4 semanas de suplementação com 100mg/dia de CoQ10 encontrou alterações nos valores da </w:t>
      </w:r>
      <w:proofErr w:type="spellStart"/>
      <w:r>
        <w:rPr>
          <w:rFonts w:ascii="Arial" w:hAnsi="Arial" w:cs="Arial"/>
          <w:sz w:val="24"/>
          <w:szCs w:val="24"/>
        </w:rPr>
        <w:t>vaspina</w:t>
      </w:r>
      <w:proofErr w:type="spellEnd"/>
      <w:r>
        <w:rPr>
          <w:rFonts w:ascii="Arial" w:hAnsi="Arial" w:cs="Arial"/>
          <w:sz w:val="24"/>
          <w:szCs w:val="24"/>
        </w:rPr>
        <w:t xml:space="preserve"> sérica, </w:t>
      </w:r>
      <w:proofErr w:type="spellStart"/>
      <w:r>
        <w:rPr>
          <w:rFonts w:ascii="Arial" w:hAnsi="Arial" w:cs="Arial"/>
          <w:sz w:val="24"/>
          <w:szCs w:val="24"/>
        </w:rPr>
        <w:t>chemerina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pentraxina</w:t>
      </w:r>
      <w:proofErr w:type="spellEnd"/>
      <w:r>
        <w:rPr>
          <w:rFonts w:ascii="Arial" w:hAnsi="Arial" w:cs="Arial"/>
          <w:sz w:val="24"/>
          <w:szCs w:val="24"/>
        </w:rPr>
        <w:t>, redução das enzimas hepáticas e circunferência abdominal em pacientes com DHGNA. Em outro estudo, a administração de CoQ10 melhorou a inflamação sistêmica e as variáveis bioquímicas presentes na DHGNA.</w:t>
      </w:r>
      <w:r>
        <w:rPr>
          <w:rFonts w:ascii="Arial" w:hAnsi="Arial" w:cs="Arial"/>
          <w:sz w:val="24"/>
          <w:szCs w:val="24"/>
          <w:vertAlign w:val="superscript"/>
        </w:rPr>
        <w:t>59</w:t>
      </w:r>
      <w:r>
        <w:rPr>
          <w:rFonts w:ascii="Arial" w:hAnsi="Arial" w:cs="Arial"/>
          <w:sz w:val="24"/>
          <w:szCs w:val="24"/>
        </w:rPr>
        <w:t xml:space="preserve"> A suplementa</w:t>
      </w:r>
      <w:r>
        <w:rPr>
          <w:rFonts w:ascii="Arial" w:hAnsi="Arial" w:cs="Arial"/>
          <w:sz w:val="24"/>
          <w:szCs w:val="24"/>
        </w:rPr>
        <w:t>ção com CoQ10 também foi eficaz na proteção do fígado em diversos modelos que levam a disfunção hepática e no envelhecimento, através de sua ação antioxidante.</w:t>
      </w:r>
      <w:r>
        <w:rPr>
          <w:rFonts w:ascii="Arial" w:hAnsi="Arial" w:cs="Arial"/>
          <w:sz w:val="24"/>
          <w:szCs w:val="24"/>
          <w:vertAlign w:val="superscript"/>
        </w:rPr>
        <w:t>60,61</w:t>
      </w:r>
    </w:p>
    <w:p w14:paraId="083D1870" w14:textId="77777777" w:rsidR="00C10BE5" w:rsidRDefault="00C10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ADF43D3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Tabela</w:t>
      </w: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1</w:t>
      </w:r>
      <w:r>
        <w:rPr>
          <w:rFonts w:ascii="Arial" w:hAnsi="Arial" w:cs="Arial"/>
          <w:b/>
          <w:sz w:val="28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Estudos com CoQ10 na Síndrome Metabólica ou Doença Hepática Gordurosa Não </w:t>
      </w:r>
      <w:r>
        <w:rPr>
          <w:rFonts w:ascii="Arial" w:hAnsi="Arial" w:cs="Arial"/>
          <w:b/>
          <w:sz w:val="24"/>
          <w:szCs w:val="24"/>
        </w:rPr>
        <w:t>Alcóolica.</w:t>
      </w:r>
    </w:p>
    <w:p w14:paraId="5239C5E6" w14:textId="77777777" w:rsidR="00C10BE5" w:rsidRDefault="00C10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  <w:lang w:val="pt-PT"/>
        </w:rPr>
      </w:pPr>
    </w:p>
    <w:p w14:paraId="0D69F701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>CONCLUSÃO E PERSPECTIVAS</w:t>
      </w:r>
    </w:p>
    <w:p w14:paraId="35358ACD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ab/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Diante da discussão exposta podemos concluir que a deficiência da CoQ10 interfere negativamente em parâmetros inflamatórios e oxidativos,  sendo que a suplementação com CoQ</w:t>
      </w:r>
      <w:r>
        <w:rPr>
          <w:rFonts w:ascii="Arial" w:eastAsia="Times New Roman" w:hAnsi="Arial" w:cs="Arial"/>
          <w:sz w:val="24"/>
          <w:szCs w:val="24"/>
          <w:vertAlign w:val="subscript"/>
          <w:lang w:val="pt-PT" w:eastAsia="pt-BR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pode ser uma aliada no tratamento de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patologias como obesidade, SM e DHGNA. Por fim, necessitamos de um maior número de pesquisas abordando aspectos básicos sobre os papéis da CoezimaQ no organismo assim como novas pesquisas clínicas que avaliem o tempo ideal de suplementação,  dose e finalme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nte seus efeitos na inflamação e no estresse oxidativo.</w:t>
      </w:r>
    </w:p>
    <w:p w14:paraId="621A9F1B" w14:textId="77777777" w:rsidR="00C10BE5" w:rsidRDefault="00C10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3256B756" w14:textId="77777777" w:rsidR="00C10BE5" w:rsidRDefault="00ED2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Referências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3C420A1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01- Kumar A, Kaur H, Devi P, Mohan V. Role of coenzyme Q10 (CoQ10) in cardiac disease,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hypertension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Meniere-like syndrome. Pharmacology &amp; Therapeutics. 2009; 124: 259-9.</w:t>
      </w:r>
    </w:p>
    <w:p w14:paraId="562497C7" w14:textId="77777777" w:rsidR="00C10BE5" w:rsidRDefault="00ED21C1">
      <w:pPr>
        <w:spacing w:line="276" w:lineRule="auto"/>
        <w:jc w:val="both"/>
        <w:rPr>
          <w:rFonts w:ascii="Arial" w:eastAsia="EB Garamond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02- </w:t>
      </w:r>
      <w:r>
        <w:rPr>
          <w:rFonts w:ascii="Arial" w:eastAsia="EB Garamond" w:hAnsi="Arial" w:cs="Arial"/>
          <w:sz w:val="24"/>
          <w:szCs w:val="24"/>
          <w:lang w:val="en-US"/>
        </w:rPr>
        <w:t>Bhagavan</w:t>
      </w:r>
      <w:r>
        <w:rPr>
          <w:rFonts w:ascii="Arial" w:eastAsia="EB Garamond" w:hAnsi="Arial" w:cs="Arial"/>
          <w:sz w:val="24"/>
          <w:szCs w:val="24"/>
          <w:lang w:val="en-US"/>
        </w:rPr>
        <w:t xml:space="preserve"> H, Chopra R. Plasma coenzyme Q10 response to oral ingestion of coenzyme Q10 formulations. Mitochondrion. 2007; 7: 78-10.</w:t>
      </w:r>
    </w:p>
    <w:p w14:paraId="54DF9E95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EB Garamond" w:hAnsi="Arial" w:cs="Arial"/>
          <w:sz w:val="24"/>
          <w:szCs w:val="24"/>
          <w:lang w:val="en-US"/>
        </w:rPr>
        <w:t xml:space="preserve">03-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Mellors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A,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Tappel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A L. The inhibition of mitochondrial peroxidation by ubiquinone and ubiquinol. J Biol Chem.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1966;241:4353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-6.</w:t>
      </w:r>
    </w:p>
    <w:p w14:paraId="21D3AC8C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508F3859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04- </w:t>
      </w:r>
      <w:r>
        <w:rPr>
          <w:rFonts w:ascii="Arial" w:hAnsi="Arial" w:cs="Arial"/>
          <w:sz w:val="24"/>
          <w:szCs w:val="24"/>
          <w:lang w:val="en-US"/>
        </w:rPr>
        <w:t>Sugiyama S, Kitazawa M, Ozawa T, Suzuki K, Izawa Y.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Anti-oxidative effect of coenzyme Q10. Experentia</w:t>
      </w:r>
      <w:r>
        <w:rPr>
          <w:rFonts w:ascii="Arial" w:eastAsia="TimesNewRomanPSMT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1980;36:1002-3.</w:t>
      </w:r>
    </w:p>
    <w:p w14:paraId="21717EBB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A17A1F4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05-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Pervanidou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Kaltsas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Chrousos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G. Metabolic syndrome: definitions and controversies. </w:t>
      </w:r>
      <w:r>
        <w:rPr>
          <w:rFonts w:ascii="Arial" w:hAnsi="Arial" w:cs="Arial"/>
          <w:iCs/>
          <w:sz w:val="24"/>
          <w:szCs w:val="24"/>
          <w:lang w:val="en-US"/>
        </w:rPr>
        <w:t>BMC medicine.2011;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9:</w:t>
      </w:r>
      <w:r>
        <w:rPr>
          <w:rFonts w:ascii="Arial" w:hAnsi="Arial" w:cs="Arial"/>
          <w:sz w:val="24"/>
          <w:szCs w:val="24"/>
          <w:lang w:val="en-US"/>
        </w:rPr>
        <w:t>48.</w:t>
      </w:r>
    </w:p>
    <w:p w14:paraId="17ACD533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C7BCAE9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06-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Hotamisligil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GS, Spiegelman BM. Tumor necrosis factor alpha: a key component of the obesity-diabetes link. Diabetes 1994; 43</w:t>
      </w:r>
      <w:r>
        <w:rPr>
          <w:rFonts w:ascii="Arial" w:hAnsi="Arial" w:cs="Arial"/>
          <w:sz w:val="24"/>
          <w:szCs w:val="24"/>
          <w:lang w:val="en-US"/>
        </w:rPr>
        <w:t>:1271-7.</w:t>
      </w:r>
    </w:p>
    <w:p w14:paraId="14242E21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B0A6787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07- Molyneux SL, Young JM,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Florkoski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CM, Lever M, George PM. Coenzyme Q10: Is there a clinical role and a case for measurement? Clin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Biochem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2008; 29: 71-11.</w:t>
      </w:r>
    </w:p>
    <w:p w14:paraId="69328114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18ED0B4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08- Mas 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T. Coenzyme Q10 and statin myalgia: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Whats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 the evidence? Current At</w:t>
      </w:r>
      <w:r>
        <w:rPr>
          <w:rFonts w:ascii="Arial" w:hAnsi="Arial" w:cs="Arial"/>
          <w:sz w:val="24"/>
          <w:szCs w:val="24"/>
          <w:lang w:val="en-US"/>
        </w:rPr>
        <w:t>herosclerosis Reports. 2010; 12(6):407-6.</w:t>
      </w:r>
    </w:p>
    <w:p w14:paraId="6EE96D91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C1D4E43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09-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Litarru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Tiano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L. Clinical Aspects of Coenzyme Q10: 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uptade</w:t>
      </w:r>
      <w:proofErr w:type="spellEnd"/>
      <w:r>
        <w:rPr>
          <w:rFonts w:ascii="Arial" w:hAnsi="Arial" w:cs="Arial"/>
          <w:sz w:val="24"/>
          <w:szCs w:val="24"/>
          <w:lang w:val="en-US"/>
        </w:rPr>
        <w:t>. Nutrition. 2010; 26(3):250-4.</w:t>
      </w:r>
    </w:p>
    <w:p w14:paraId="5B501A1C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067FBC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10- Prakash S, Sunitha J, Hans M. Role of coenzyme Q10 as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antioxidant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bioenergizer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periodontal diseases.</w:t>
      </w:r>
      <w:r>
        <w:rPr>
          <w:rFonts w:ascii="Arial" w:hAnsi="Arial" w:cs="Arial"/>
          <w:sz w:val="24"/>
          <w:szCs w:val="24"/>
          <w:lang w:val="en-US"/>
        </w:rPr>
        <w:t xml:space="preserve"> Indian journal of pharmacology. 2010; 42(6):334-3. </w:t>
      </w:r>
    </w:p>
    <w:p w14:paraId="335F27CA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8637B6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11-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Bentinger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Dallner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G. Coenzyme Q – Biosynthesis and functions. Biochemical and Biophysical Research Communications. 2010; 396:74-5.</w:t>
      </w:r>
    </w:p>
    <w:p w14:paraId="0C143E53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FA7BDA1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12-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Shindo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Y, Witt E, Han D, Epstein W, Packer L. Enzy</w:t>
      </w:r>
      <w:r>
        <w:rPr>
          <w:rFonts w:ascii="Arial" w:hAnsi="Arial" w:cs="Arial"/>
          <w:sz w:val="24"/>
          <w:szCs w:val="24"/>
          <w:lang w:val="en-US"/>
        </w:rPr>
        <w:t xml:space="preserve">mic and nonenzymic antioxidants in epidermis and dermis of human skin. </w:t>
      </w:r>
      <w:r>
        <w:rPr>
          <w:rFonts w:ascii="Arial" w:hAnsi="Arial" w:cs="Arial"/>
          <w:sz w:val="24"/>
          <w:szCs w:val="24"/>
        </w:rPr>
        <w:t xml:space="preserve">Invest. </w:t>
      </w:r>
      <w:proofErr w:type="spellStart"/>
      <w:r>
        <w:rPr>
          <w:rFonts w:ascii="Arial" w:hAnsi="Arial" w:cs="Arial"/>
          <w:sz w:val="24"/>
          <w:szCs w:val="24"/>
        </w:rPr>
        <w:t>Dermatol</w:t>
      </w:r>
      <w:proofErr w:type="spellEnd"/>
      <w:r>
        <w:rPr>
          <w:rFonts w:ascii="Arial" w:hAnsi="Arial" w:cs="Arial"/>
          <w:sz w:val="24"/>
          <w:szCs w:val="24"/>
        </w:rPr>
        <w:t>. 1994; 102:122-2.</w:t>
      </w:r>
    </w:p>
    <w:p w14:paraId="6122D4A1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440A2B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13- </w:t>
      </w:r>
      <w:proofErr w:type="spellStart"/>
      <w:r>
        <w:rPr>
          <w:rFonts w:ascii="Arial" w:hAnsi="Arial" w:cs="Arial"/>
          <w:sz w:val="24"/>
          <w:szCs w:val="24"/>
        </w:rPr>
        <w:t>Maraver</w:t>
      </w:r>
      <w:proofErr w:type="spellEnd"/>
      <w:r>
        <w:rPr>
          <w:rFonts w:ascii="Arial" w:hAnsi="Arial" w:cs="Arial"/>
          <w:sz w:val="24"/>
          <w:szCs w:val="24"/>
        </w:rPr>
        <w:t xml:space="preserve"> JG, </w:t>
      </w:r>
      <w:proofErr w:type="spellStart"/>
      <w:r>
        <w:rPr>
          <w:rFonts w:ascii="Arial" w:hAnsi="Arial" w:cs="Arial"/>
          <w:sz w:val="24"/>
          <w:szCs w:val="24"/>
        </w:rPr>
        <w:t>Cordero</w:t>
      </w:r>
      <w:proofErr w:type="spellEnd"/>
      <w:r>
        <w:rPr>
          <w:rFonts w:ascii="Arial" w:hAnsi="Arial" w:cs="Arial"/>
          <w:sz w:val="24"/>
          <w:szCs w:val="24"/>
        </w:rPr>
        <w:t xml:space="preserve"> MD, Ávila MO, Vega AF, Mata M, </w:t>
      </w:r>
      <w:proofErr w:type="spellStart"/>
      <w:r>
        <w:rPr>
          <w:rFonts w:ascii="Arial" w:hAnsi="Arial" w:cs="Arial"/>
          <w:sz w:val="24"/>
          <w:szCs w:val="24"/>
        </w:rPr>
        <w:t>Pavón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A,et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al. </w:t>
      </w:r>
      <w:r>
        <w:rPr>
          <w:rFonts w:ascii="Arial" w:hAnsi="Arial" w:cs="Arial"/>
          <w:sz w:val="24"/>
          <w:szCs w:val="24"/>
          <w:lang w:val="en-US"/>
        </w:rPr>
        <w:t xml:space="preserve">Coenzyme Q10 therapy. Mol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Syndromol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2014; 5:187-10.</w:t>
      </w:r>
    </w:p>
    <w:p w14:paraId="1D46D9C2" w14:textId="77777777" w:rsidR="00C10BE5" w:rsidRDefault="00ED21C1">
      <w:pPr>
        <w:spacing w:after="0" w:line="276" w:lineRule="auto"/>
        <w:jc w:val="both"/>
        <w:rPr>
          <w:rFonts w:ascii="Arial" w:eastAsia="MyriadPro-Light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14- </w:t>
      </w:r>
      <w:r>
        <w:rPr>
          <w:rFonts w:ascii="Arial" w:eastAsia="MyriadPro-Light" w:hAnsi="Arial" w:cs="Arial"/>
          <w:sz w:val="24"/>
          <w:szCs w:val="24"/>
          <w:lang w:val="en-US"/>
        </w:rPr>
        <w:t xml:space="preserve">Kagan V, </w:t>
      </w:r>
      <w:proofErr w:type="spellStart"/>
      <w:r>
        <w:rPr>
          <w:rFonts w:ascii="Arial" w:eastAsia="MyriadPro-Light" w:hAnsi="Arial" w:cs="Arial"/>
          <w:sz w:val="24"/>
          <w:szCs w:val="24"/>
          <w:lang w:val="en-US"/>
        </w:rPr>
        <w:t>Serbinova</w:t>
      </w:r>
      <w:proofErr w:type="spellEnd"/>
      <w:r>
        <w:rPr>
          <w:rFonts w:ascii="Arial" w:eastAsia="MyriadPro-Light" w:hAnsi="Arial" w:cs="Arial"/>
          <w:sz w:val="24"/>
          <w:szCs w:val="24"/>
          <w:lang w:val="en-US"/>
        </w:rPr>
        <w:t xml:space="preserve"> E, </w:t>
      </w:r>
      <w:r>
        <w:rPr>
          <w:rFonts w:ascii="Arial" w:eastAsia="MyriadPro-Light" w:hAnsi="Arial" w:cs="Arial"/>
          <w:sz w:val="24"/>
          <w:szCs w:val="24"/>
          <w:lang w:val="en-US"/>
        </w:rPr>
        <w:t xml:space="preserve">Packer L. Antioxidant effects of </w:t>
      </w:r>
      <w:proofErr w:type="spellStart"/>
      <w:r>
        <w:rPr>
          <w:rFonts w:ascii="Arial" w:eastAsia="MyriadPro-Light" w:hAnsi="Arial" w:cs="Arial"/>
          <w:sz w:val="24"/>
          <w:szCs w:val="24"/>
          <w:lang w:val="en-US"/>
        </w:rPr>
        <w:t>ubiquinones</w:t>
      </w:r>
      <w:proofErr w:type="spellEnd"/>
      <w:r>
        <w:rPr>
          <w:rFonts w:ascii="Arial" w:eastAsia="MyriadPro-Light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eastAsia="MyriadPro-Light" w:hAnsi="Arial" w:cs="Arial"/>
          <w:sz w:val="24"/>
          <w:szCs w:val="24"/>
          <w:lang w:val="en-US"/>
        </w:rPr>
        <w:t>microssomes</w:t>
      </w:r>
      <w:proofErr w:type="spellEnd"/>
      <w:r>
        <w:rPr>
          <w:rFonts w:ascii="Arial" w:eastAsia="MyriadPro-Light" w:hAnsi="Arial" w:cs="Arial"/>
          <w:sz w:val="24"/>
          <w:szCs w:val="24"/>
          <w:lang w:val="en-US"/>
        </w:rPr>
        <w:t xml:space="preserve"> and mitochondria are mediated by tocopherol recycling. </w:t>
      </w:r>
      <w:proofErr w:type="spellStart"/>
      <w:r>
        <w:rPr>
          <w:rFonts w:ascii="Arial" w:eastAsia="MyriadPro-Light" w:hAnsi="Arial" w:cs="Arial"/>
          <w:sz w:val="24"/>
          <w:szCs w:val="24"/>
          <w:lang w:val="en-US"/>
        </w:rPr>
        <w:t>Biochem</w:t>
      </w:r>
      <w:proofErr w:type="spellEnd"/>
      <w:r>
        <w:rPr>
          <w:rFonts w:ascii="Arial" w:eastAsia="MyriadPro-Light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yriadPro-Light" w:hAnsi="Arial" w:cs="Arial"/>
          <w:sz w:val="24"/>
          <w:szCs w:val="24"/>
          <w:lang w:val="en-US"/>
        </w:rPr>
        <w:t>Biophys</w:t>
      </w:r>
      <w:proofErr w:type="spellEnd"/>
      <w:r>
        <w:rPr>
          <w:rFonts w:ascii="Arial" w:eastAsia="MyriadPro-Light" w:hAnsi="Arial" w:cs="Arial"/>
          <w:sz w:val="24"/>
          <w:szCs w:val="24"/>
          <w:lang w:val="en-US"/>
        </w:rPr>
        <w:t xml:space="preserve"> Res </w:t>
      </w:r>
      <w:proofErr w:type="spellStart"/>
      <w:r>
        <w:rPr>
          <w:rFonts w:ascii="Arial" w:eastAsia="MyriadPro-Light" w:hAnsi="Arial" w:cs="Arial"/>
          <w:sz w:val="24"/>
          <w:szCs w:val="24"/>
          <w:lang w:val="en-US"/>
        </w:rPr>
        <w:t>Commun</w:t>
      </w:r>
      <w:proofErr w:type="spellEnd"/>
      <w:r>
        <w:rPr>
          <w:rFonts w:ascii="Arial" w:eastAsia="MyriadPro-Light" w:hAnsi="Arial" w:cs="Arial"/>
          <w:sz w:val="24"/>
          <w:szCs w:val="24"/>
          <w:lang w:val="en-US"/>
        </w:rPr>
        <w:t>. 1990;169(3):851-57.</w:t>
      </w:r>
    </w:p>
    <w:p w14:paraId="421C9B8D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E885347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15- Kitano M,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Hosoe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Fukutomi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N, Hidaka T,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Ohta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Yamakage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K, Hara T. </w:t>
      </w:r>
      <w:r>
        <w:rPr>
          <w:rFonts w:ascii="Arial" w:hAnsi="Arial" w:cs="Arial"/>
          <w:sz w:val="24"/>
          <w:szCs w:val="24"/>
          <w:lang w:val="en-US"/>
        </w:rPr>
        <w:t xml:space="preserve">Evaluation of the mutagenic potential of ubidecarenone using three short-term assays. Food Chem.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Toxicol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2006; 44:364-6.</w:t>
      </w:r>
    </w:p>
    <w:p w14:paraId="2EEFA994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B4963FD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16- Pepe S, Marasco S, Haas S, Sheeran F, Krum H,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Rosenfeldt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F. Coenzyme Q10 in cardiovascular disease. Mitochondrion. 2007; 7:154-13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98DB6DB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CACB026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17- Miles M. The uptake and distribution of Coenzyme Q10.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Mithocondrion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2007; 7: 72-5.</w:t>
      </w:r>
    </w:p>
    <w:p w14:paraId="27EE6B50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09796CF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18- Greenberg S,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Frishman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WH. Co-enzyme Q10: a new drug for cardiovascular disease. J Clin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 1990; 30:596-12.</w:t>
      </w:r>
    </w:p>
    <w:p w14:paraId="52814642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471419F" w14:textId="77777777" w:rsidR="00C10BE5" w:rsidRDefault="00ED21C1">
      <w:pPr>
        <w:spacing w:line="276" w:lineRule="auto"/>
        <w:jc w:val="both"/>
        <w:rPr>
          <w:rFonts w:ascii="Arial" w:eastAsia="EB Garamond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19- </w:t>
      </w:r>
      <w:r>
        <w:rPr>
          <w:rFonts w:ascii="Arial" w:eastAsia="EB Garamond" w:hAnsi="Arial" w:cs="Arial"/>
          <w:sz w:val="24"/>
          <w:szCs w:val="24"/>
          <w:lang w:val="en-US"/>
        </w:rPr>
        <w:t xml:space="preserve">Bhagavan H, Chopra R. Coenzyme Q10: Absorption, tissue uptake, </w:t>
      </w:r>
      <w:proofErr w:type="gramStart"/>
      <w:r>
        <w:rPr>
          <w:rFonts w:ascii="Arial" w:eastAsia="EB Garamond" w:hAnsi="Arial" w:cs="Arial"/>
          <w:sz w:val="24"/>
          <w:szCs w:val="24"/>
          <w:lang w:val="en-US"/>
        </w:rPr>
        <w:t>metabolism</w:t>
      </w:r>
      <w:proofErr w:type="gramEnd"/>
      <w:r>
        <w:rPr>
          <w:rFonts w:ascii="Arial" w:eastAsia="EB Garamond" w:hAnsi="Arial" w:cs="Arial"/>
          <w:sz w:val="24"/>
          <w:szCs w:val="24"/>
          <w:lang w:val="en-US"/>
        </w:rPr>
        <w:t xml:space="preserve"> and pharmacokinetics. Free Radical Research. 2006; 40(5):445–8. </w:t>
      </w:r>
    </w:p>
    <w:p w14:paraId="47EF486D" w14:textId="77777777" w:rsidR="00C10BE5" w:rsidRDefault="00ED21C1">
      <w:pPr>
        <w:spacing w:line="276" w:lineRule="auto"/>
        <w:jc w:val="both"/>
        <w:rPr>
          <w:rFonts w:ascii="Arial" w:eastAsia="EB Garamond" w:hAnsi="Arial" w:cs="Arial"/>
          <w:sz w:val="24"/>
          <w:szCs w:val="24"/>
          <w:lang w:val="en-US"/>
        </w:rPr>
      </w:pPr>
      <w:r>
        <w:rPr>
          <w:rFonts w:ascii="Arial" w:eastAsia="EB Garamond" w:hAnsi="Arial" w:cs="Arial"/>
          <w:sz w:val="24"/>
          <w:szCs w:val="24"/>
          <w:lang w:val="en-US"/>
        </w:rPr>
        <w:t xml:space="preserve">20- Schulz C, </w:t>
      </w:r>
      <w:proofErr w:type="spellStart"/>
      <w:r>
        <w:rPr>
          <w:rFonts w:ascii="Arial" w:eastAsia="EB Garamond" w:hAnsi="Arial" w:cs="Arial"/>
          <w:sz w:val="24"/>
          <w:szCs w:val="24"/>
          <w:lang w:val="en-US"/>
        </w:rPr>
        <w:t>Obermuller</w:t>
      </w:r>
      <w:proofErr w:type="spellEnd"/>
      <w:r>
        <w:rPr>
          <w:rFonts w:ascii="Arial" w:eastAsia="EB Garamond" w:hAnsi="Arial" w:cs="Arial"/>
          <w:sz w:val="24"/>
          <w:szCs w:val="24"/>
          <w:lang w:val="en-US"/>
        </w:rPr>
        <w:t xml:space="preserve"> JUC, </w:t>
      </w:r>
      <w:proofErr w:type="spellStart"/>
      <w:r>
        <w:rPr>
          <w:rFonts w:ascii="Arial" w:eastAsia="EB Garamond" w:hAnsi="Arial" w:cs="Arial"/>
          <w:sz w:val="24"/>
          <w:szCs w:val="24"/>
          <w:lang w:val="en-US"/>
        </w:rPr>
        <w:t>Hasselwander</w:t>
      </w:r>
      <w:proofErr w:type="spellEnd"/>
      <w:r>
        <w:rPr>
          <w:rFonts w:ascii="Arial" w:eastAsia="EB Garamond" w:hAnsi="Arial" w:cs="Arial"/>
          <w:sz w:val="24"/>
          <w:szCs w:val="24"/>
          <w:lang w:val="en-US"/>
        </w:rPr>
        <w:t xml:space="preserve"> O, Bernhardt J, </w:t>
      </w:r>
      <w:proofErr w:type="spellStart"/>
      <w:r>
        <w:rPr>
          <w:rFonts w:ascii="Arial" w:eastAsia="EB Garamond" w:hAnsi="Arial" w:cs="Arial"/>
          <w:sz w:val="24"/>
          <w:szCs w:val="24"/>
          <w:lang w:val="en-US"/>
        </w:rPr>
        <w:t>Biesalski</w:t>
      </w:r>
      <w:proofErr w:type="spellEnd"/>
      <w:r>
        <w:rPr>
          <w:rFonts w:ascii="Arial" w:eastAsia="EB Garamond" w:hAnsi="Arial" w:cs="Arial"/>
          <w:sz w:val="24"/>
          <w:szCs w:val="24"/>
          <w:lang w:val="en-US"/>
        </w:rPr>
        <w:t xml:space="preserve"> HK. Comparison of the relative bioavailability o</w:t>
      </w:r>
      <w:r>
        <w:rPr>
          <w:rFonts w:ascii="Arial" w:eastAsia="EB Garamond" w:hAnsi="Arial" w:cs="Arial"/>
          <w:sz w:val="24"/>
          <w:szCs w:val="24"/>
          <w:lang w:val="en-US"/>
        </w:rPr>
        <w:t xml:space="preserve">f different coenzyme Q10 formulations with a novel </w:t>
      </w:r>
      <w:proofErr w:type="spellStart"/>
      <w:r>
        <w:rPr>
          <w:rFonts w:ascii="Arial" w:eastAsia="EB Garamond" w:hAnsi="Arial" w:cs="Arial"/>
          <w:sz w:val="24"/>
          <w:szCs w:val="24"/>
          <w:lang w:val="en-US"/>
        </w:rPr>
        <w:t>solubilizate</w:t>
      </w:r>
      <w:proofErr w:type="spellEnd"/>
      <w:r>
        <w:rPr>
          <w:rFonts w:ascii="Arial" w:eastAsia="EB Garamond" w:hAnsi="Arial" w:cs="Arial"/>
          <w:sz w:val="24"/>
          <w:szCs w:val="24"/>
          <w:lang w:val="en-US"/>
        </w:rPr>
        <w:t xml:space="preserve"> (Solu Q10). Int J Sci and Nutr.2006; 57(7/8):546-9. </w:t>
      </w:r>
    </w:p>
    <w:p w14:paraId="41BA6B5E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EB Garamond" w:hAnsi="Arial" w:cs="Arial"/>
          <w:sz w:val="24"/>
          <w:szCs w:val="24"/>
          <w:lang w:val="en-US"/>
        </w:rPr>
        <w:t>21-</w:t>
      </w:r>
      <w:r>
        <w:rPr>
          <w:rFonts w:ascii="Arial" w:hAnsi="Arial" w:cs="Arial"/>
          <w:sz w:val="24"/>
          <w:szCs w:val="24"/>
          <w:lang w:val="en-US"/>
        </w:rPr>
        <w:t xml:space="preserve"> Hathcock JN, Shao A. Risk assessment for coenzyme Q10 (ubiquinone).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Toxicol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2006;45:282</w:t>
      </w:r>
      <w:proofErr w:type="gramEnd"/>
      <w:r>
        <w:rPr>
          <w:rFonts w:ascii="Arial" w:hAnsi="Arial" w:cs="Arial"/>
          <w:sz w:val="24"/>
          <w:szCs w:val="24"/>
          <w:lang w:val="en-US"/>
        </w:rPr>
        <w:t>–288.</w:t>
      </w:r>
    </w:p>
    <w:p w14:paraId="27B5D2F6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56AEABB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22- Mayo Clinic. Drugs a</w:t>
      </w:r>
      <w:r>
        <w:rPr>
          <w:rFonts w:ascii="Arial" w:hAnsi="Arial" w:cs="Arial"/>
          <w:sz w:val="24"/>
          <w:szCs w:val="24"/>
          <w:lang w:val="en-US"/>
        </w:rPr>
        <w:t xml:space="preserve">nd supplements: Coenzyme Q10. </w:t>
      </w:r>
      <w:r>
        <w:rPr>
          <w:rFonts w:ascii="Arial" w:hAnsi="Arial" w:cs="Arial"/>
          <w:sz w:val="24"/>
          <w:szCs w:val="24"/>
        </w:rPr>
        <w:t xml:space="preserve">Disponível em: </w:t>
      </w:r>
      <w:hyperlink r:id="rId8">
        <w:r>
          <w:rPr>
            <w:rStyle w:val="LinkdaInternet"/>
            <w:rFonts w:ascii="Arial" w:hAnsi="Arial" w:cs="Arial"/>
            <w:color w:val="auto"/>
            <w:sz w:val="24"/>
            <w:szCs w:val="24"/>
          </w:rPr>
          <w:t>http://www.mayoclinic.org/drugs-supplements/coenzyme-q10/interactions/hrb-20059019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1BBC6B9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C3894A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23- Hidaka T,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Fujii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unahashi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Fukutomi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Hosoe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K. Safety assessment of coenzyme Q 10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CoQ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10 )</w:t>
      </w:r>
      <w:proofErr w:type="gramEnd"/>
      <w:r>
        <w:rPr>
          <w:rFonts w:ascii="Arial" w:hAnsi="Arial" w:cs="Arial"/>
          <w:sz w:val="24"/>
          <w:szCs w:val="24"/>
          <w:lang w:val="en-US"/>
        </w:rPr>
        <w:t>. Biofactors.2008; 32:199–9.</w:t>
      </w:r>
    </w:p>
    <w:p w14:paraId="2776ACE2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ED31B25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24-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C, Krikorian SA,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Couris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RR. Coenzyme Q10: a review of essential functions and clinical trials. US Pharmacist. 2000; 28-13.</w:t>
      </w:r>
    </w:p>
    <w:p w14:paraId="53C50107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7C55849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25-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Strey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CH, Yo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ung JM, Molyneux SL, George PM,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Florkowski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CM, Scott RS, et al.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Endotheliumameliorating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effects of statin therapy and coenzyme Q10 reductions in chronic heart failure. </w:t>
      </w:r>
      <w:proofErr w:type="spellStart"/>
      <w:r>
        <w:rPr>
          <w:rFonts w:ascii="Arial" w:eastAsia="TimesNewRomanPSMT" w:hAnsi="Arial" w:cs="Arial"/>
          <w:sz w:val="24"/>
          <w:szCs w:val="24"/>
        </w:rPr>
        <w:t>Atherosclerosis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NewRomanPSMT" w:hAnsi="Arial" w:cs="Arial"/>
          <w:sz w:val="24"/>
          <w:szCs w:val="24"/>
        </w:rPr>
        <w:t>2005;179:201</w:t>
      </w:r>
      <w:proofErr w:type="gramEnd"/>
      <w:r>
        <w:rPr>
          <w:rFonts w:ascii="Arial" w:eastAsia="TimesNewRomanPSMT" w:hAnsi="Arial" w:cs="Arial"/>
          <w:sz w:val="24"/>
          <w:szCs w:val="24"/>
        </w:rPr>
        <w:t>-6.</w:t>
      </w:r>
    </w:p>
    <w:p w14:paraId="78D8D430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513651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26- </w:t>
      </w:r>
      <w:proofErr w:type="spellStart"/>
      <w:r>
        <w:rPr>
          <w:rFonts w:ascii="Arial" w:eastAsia="TimesNewRomanPSMT" w:hAnsi="Arial" w:cs="Arial"/>
          <w:sz w:val="24"/>
          <w:szCs w:val="24"/>
        </w:rPr>
        <w:t>Ghirlanda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 G, </w:t>
      </w:r>
      <w:proofErr w:type="spellStart"/>
      <w:r>
        <w:rPr>
          <w:rFonts w:ascii="Arial" w:eastAsia="TimesNewRomanPSMT" w:hAnsi="Arial" w:cs="Arial"/>
          <w:sz w:val="24"/>
          <w:szCs w:val="24"/>
        </w:rPr>
        <w:t>Oradei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 A, Manto A, </w:t>
      </w:r>
      <w:proofErr w:type="spellStart"/>
      <w:r>
        <w:rPr>
          <w:rFonts w:ascii="Arial" w:eastAsia="TimesNewRomanPSMT" w:hAnsi="Arial" w:cs="Arial"/>
          <w:sz w:val="24"/>
          <w:szCs w:val="24"/>
        </w:rPr>
        <w:t>Lippa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 S, </w:t>
      </w:r>
      <w:proofErr w:type="spellStart"/>
      <w:r>
        <w:rPr>
          <w:rFonts w:ascii="Arial" w:eastAsia="TimesNewRomanPSMT" w:hAnsi="Arial" w:cs="Arial"/>
          <w:sz w:val="24"/>
          <w:szCs w:val="24"/>
        </w:rPr>
        <w:t>Uccioli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 L,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 xml:space="preserve">Caputo S, et al. </w:t>
      </w:r>
      <w:r>
        <w:rPr>
          <w:rFonts w:ascii="Arial" w:eastAsia="TimesNewRomanPSMT" w:hAnsi="Arial" w:cs="Arial"/>
          <w:sz w:val="24"/>
          <w:szCs w:val="24"/>
          <w:lang w:val="en-US"/>
        </w:rPr>
        <w:t>Evidence of plasma CoQ10-lowering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effect by HMG-CoA reductase inhibitors: a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doubleblind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placebo-controlled study. J Clin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Pharmacol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1993;33:226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-9.</w:t>
      </w:r>
    </w:p>
    <w:p w14:paraId="139D8517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1D0777A8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lastRenderedPageBreak/>
        <w:t xml:space="preserve">27-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Folkers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K,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Langsjoen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P, Willis R, Richardson P, Xia LJ, Ye CQ, et al. Lovast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atin decreases coenzyme Q levels in humans. Proc Natl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Acad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Sci USA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1990;87:8931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-4.</w:t>
      </w:r>
    </w:p>
    <w:p w14:paraId="428639A1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325DA7E9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28- Silver MA,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Langsjoen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PH, Szabo S, Patil H,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Zelinger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A. Effect of atorvastatin on left ventricular diastolic function and ability of coenzyme Q10 to reverse that dysfunc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tion. Am J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Cardiol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2004;94:1306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-10.</w:t>
      </w:r>
    </w:p>
    <w:p w14:paraId="4DFF67FD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A4546A6" w14:textId="77777777" w:rsidR="00C10BE5" w:rsidRDefault="00ED21C1">
      <w:pPr>
        <w:spacing w:line="276" w:lineRule="auto"/>
        <w:jc w:val="both"/>
        <w:rPr>
          <w:rFonts w:ascii="Arial" w:eastAsia="EB Garamond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29- </w:t>
      </w:r>
      <w:r>
        <w:rPr>
          <w:rFonts w:ascii="Arial" w:eastAsia="EB Garamond" w:hAnsi="Arial" w:cs="Arial"/>
          <w:sz w:val="24"/>
          <w:szCs w:val="24"/>
          <w:lang w:val="en-US"/>
        </w:rPr>
        <w:t>Santos, GC, Antunes LMG, Santos AC, Bianchi MLP. Coenzyme Q10 and its effects in the treatment of neurodegenerative diseases. Brazilian Journal of Pharmaceutical Sciences.2009; 45(4): 607-11.\</w:t>
      </w:r>
    </w:p>
    <w:p w14:paraId="2EB4442B" w14:textId="77777777" w:rsidR="00C10BE5" w:rsidRDefault="00ED21C1">
      <w:pPr>
        <w:spacing w:line="276" w:lineRule="auto"/>
        <w:jc w:val="both"/>
        <w:rPr>
          <w:rFonts w:ascii="Arial" w:eastAsia="EB Garamond" w:hAnsi="Arial" w:cs="Arial"/>
          <w:sz w:val="24"/>
          <w:szCs w:val="24"/>
          <w:lang w:val="en-US"/>
        </w:rPr>
      </w:pPr>
      <w:r>
        <w:rPr>
          <w:rFonts w:ascii="Arial" w:eastAsia="EB Garamond" w:hAnsi="Arial" w:cs="Arial"/>
          <w:sz w:val="24"/>
          <w:szCs w:val="24"/>
          <w:lang w:val="en-US"/>
        </w:rPr>
        <w:t xml:space="preserve">30- 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Molyneux SL,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Flork</w:t>
      </w:r>
      <w:r>
        <w:rPr>
          <w:rFonts w:ascii="Arial" w:eastAsia="TimesNewRomanPSMT" w:hAnsi="Arial" w:cs="Arial"/>
          <w:sz w:val="24"/>
          <w:szCs w:val="24"/>
          <w:lang w:val="en-US"/>
        </w:rPr>
        <w:t>owski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CM, Lever M, George</w:t>
      </w:r>
      <w:r>
        <w:rPr>
          <w:rFonts w:ascii="Arial" w:eastAsia="EB Garamond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n-US"/>
        </w:rPr>
        <w:t>PM. Biological variation of coenzyme Q10. Clin Chem.</w:t>
      </w:r>
      <w:r>
        <w:rPr>
          <w:rFonts w:ascii="Arial" w:eastAsia="EB Garamond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2005;51:455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-7.</w:t>
      </w:r>
    </w:p>
    <w:p w14:paraId="54A7F4BF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31-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Kaikkonen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J,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Nyyssönen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K, Salonen JT.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Measurement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 xml:space="preserve"> and stability of plasma reduced, oxidized and total coenzyme Q10 in humans.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Scand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J Clin Lab Invest.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1999;59</w:t>
      </w:r>
      <w:r>
        <w:rPr>
          <w:rFonts w:ascii="Arial" w:eastAsia="TimesNewRomanPSMT" w:hAnsi="Arial" w:cs="Arial"/>
          <w:sz w:val="24"/>
          <w:szCs w:val="24"/>
          <w:lang w:val="en-US"/>
        </w:rPr>
        <w:t>:457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-66.</w:t>
      </w:r>
    </w:p>
    <w:p w14:paraId="4A651608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230B1829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32-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Kaikkonen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J,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Tuomainen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TP,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Nyyssönen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K, Salonen JT. coenzyme Q10: absorption, antioxidative properties, determinants, and plasma levels. Free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Radic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Res. 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>2002;36:389</w:t>
      </w:r>
      <w:proofErr w:type="gramEnd"/>
      <w:r>
        <w:rPr>
          <w:rFonts w:ascii="Arial" w:eastAsia="TimesNewRomanPSMT" w:hAnsi="Arial" w:cs="Arial"/>
          <w:sz w:val="24"/>
          <w:szCs w:val="24"/>
          <w:lang w:val="en-US"/>
        </w:rPr>
        <w:t>-97.</w:t>
      </w:r>
    </w:p>
    <w:p w14:paraId="7BAA9BE8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5B2C0A44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33-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Overvad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K, Diamant B, Holm L,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Holmer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G, Mortensen SA,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Stender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S. Coe</w:t>
      </w:r>
      <w:r>
        <w:rPr>
          <w:rFonts w:ascii="Arial" w:eastAsia="TimesNewRomanPSMT" w:hAnsi="Arial" w:cs="Arial"/>
          <w:sz w:val="24"/>
          <w:szCs w:val="24"/>
          <w:lang w:val="en-US"/>
        </w:rPr>
        <w:t xml:space="preserve">nzyme Q10 in health and disease. Eur J Clin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Nutr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>. 1999; 53:764-6.</w:t>
      </w:r>
    </w:p>
    <w:p w14:paraId="4392BDA0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6F8184AE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34-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Bentinger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M,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Brismar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K,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Dallner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G. The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andioxidant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role of coenzyme Q. Mitochondrion. 2007: 7; 41-9.</w:t>
      </w:r>
    </w:p>
    <w:p w14:paraId="56CBF415" w14:textId="77777777" w:rsidR="00C10BE5" w:rsidRDefault="00C10BE5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695FA09E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35- </w:t>
      </w:r>
      <w:proofErr w:type="spellStart"/>
      <w:r>
        <w:rPr>
          <w:rFonts w:ascii="Arial" w:eastAsia="TimesNewRomanPSMT" w:hAnsi="Arial" w:cs="Arial"/>
          <w:sz w:val="24"/>
          <w:szCs w:val="24"/>
          <w:lang w:val="en-US"/>
        </w:rPr>
        <w:t>Alam</w:t>
      </w:r>
      <w:proofErr w:type="spellEnd"/>
      <w:r>
        <w:rPr>
          <w:rFonts w:ascii="Arial" w:eastAsia="TimesNewRomanPSMT" w:hAnsi="Arial" w:cs="Arial"/>
          <w:sz w:val="24"/>
          <w:szCs w:val="24"/>
          <w:lang w:val="en-US"/>
        </w:rPr>
        <w:t xml:space="preserve"> AM, Rahman MM. Mitochondrial dysfunction in obesity: potential benefit and mechanism of Coenzyme Q10 supplementation in metabolic syndrome. </w:t>
      </w:r>
      <w:r>
        <w:rPr>
          <w:rFonts w:ascii="Arial" w:hAnsi="Arial" w:cs="Arial"/>
          <w:sz w:val="24"/>
          <w:szCs w:val="24"/>
          <w:lang w:val="en-US"/>
        </w:rPr>
        <w:t>Journal of Diabetes &amp; Metabolic Disorders. 2014; 13:60.</w:t>
      </w:r>
    </w:p>
    <w:p w14:paraId="14A1C92F" w14:textId="77777777" w:rsidR="00C10BE5" w:rsidRDefault="00ED21C1">
      <w:pPr>
        <w:spacing w:after="0" w:line="276" w:lineRule="auto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 xml:space="preserve"> </w:t>
      </w:r>
    </w:p>
    <w:p w14:paraId="1DAFC640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NewRomanPSMT" w:hAnsi="Arial" w:cs="Arial"/>
          <w:sz w:val="24"/>
          <w:szCs w:val="24"/>
          <w:lang w:val="en-US"/>
        </w:rPr>
        <w:t>36</w:t>
      </w:r>
      <w:proofErr w:type="gramStart"/>
      <w:r>
        <w:rPr>
          <w:rFonts w:ascii="Arial" w:eastAsia="TimesNewRomanPSMT" w:hAnsi="Arial" w:cs="Arial"/>
          <w:sz w:val="24"/>
          <w:szCs w:val="24"/>
          <w:lang w:val="en-US"/>
        </w:rPr>
        <w:t xml:space="preserve">-  </w:t>
      </w:r>
      <w:r>
        <w:rPr>
          <w:rFonts w:ascii="Arial" w:hAnsi="Arial" w:cs="Arial"/>
          <w:sz w:val="24"/>
          <w:szCs w:val="24"/>
          <w:lang w:val="en-US"/>
        </w:rPr>
        <w:t>Weisberg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SP, McCann D, Desai M, Rosenbaum M,</w:t>
      </w:r>
      <w:r>
        <w:rPr>
          <w:rFonts w:ascii="Arial" w:hAnsi="Arial" w:cs="Arial"/>
          <w:sz w:val="24"/>
          <w:szCs w:val="24"/>
          <w:lang w:val="en-US"/>
        </w:rPr>
        <w:t xml:space="preserve"> Leibel RL, Ferrante AW. Obesity is associated with macrophage accumulation in adipose tissue.</w:t>
      </w:r>
    </w:p>
    <w:p w14:paraId="7B55453C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 Clin Invest. 2003; 112:1796–12.</w:t>
      </w:r>
    </w:p>
    <w:p w14:paraId="114E13A6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37- Xu H, Barnes GT, Yang Q, Tan G, Yang D, Chou CJ, Sole J, Nichols A, Ross JS, Tartaglia LA, Chen H. Chronic </w:t>
      </w:r>
      <w:r>
        <w:rPr>
          <w:rFonts w:ascii="Arial" w:hAnsi="Arial" w:cs="Arial"/>
          <w:sz w:val="24"/>
          <w:szCs w:val="24"/>
          <w:lang w:val="en-US"/>
        </w:rPr>
        <w:t>inflammation in fat plays a crucial role in the development of obesity-related insulin resistance. J Clin Invest. 2003; 112:1821–9.</w:t>
      </w:r>
    </w:p>
    <w:p w14:paraId="7B547CBA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341D8F6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38-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Pauw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A, et al. Mitochondrial dysfunction in adipocyte differentiation and systemic metabolic alterations. Am J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Patho</w:t>
      </w:r>
      <w:r>
        <w:rPr>
          <w:rFonts w:ascii="Arial" w:hAnsi="Arial" w:cs="Arial"/>
          <w:sz w:val="24"/>
          <w:szCs w:val="24"/>
          <w:lang w:val="en-US"/>
        </w:rPr>
        <w:t>l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2009; 175:927-12.</w:t>
      </w:r>
    </w:p>
    <w:p w14:paraId="402D5D10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75806DB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39- Lu RH, et al. Mitochondrial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development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the influence of its dysfunction during rat adipocyte differentiation. Mol Biol Rep. 2010; 37:2173–9.</w:t>
      </w:r>
    </w:p>
    <w:p w14:paraId="770BC371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955B59F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40-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Mehmetoglu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Yerlikaya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FH,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Kurban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S. Correlation between vitamin A, E,</w:t>
      </w:r>
    </w:p>
    <w:p w14:paraId="08255A13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coenzym</w:t>
      </w:r>
      <w:r>
        <w:rPr>
          <w:rFonts w:ascii="Arial" w:hAnsi="Arial" w:cs="Arial"/>
          <w:sz w:val="24"/>
          <w:szCs w:val="24"/>
          <w:lang w:val="en-US"/>
        </w:rPr>
        <w:t>e Q-10 and degree of insulin resistance in obese and non-obese</w:t>
      </w:r>
    </w:p>
    <w:p w14:paraId="1BFD3F0E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subjects. J Clin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Biochem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Nutr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2011; 49:159–4.</w:t>
      </w:r>
    </w:p>
    <w:p w14:paraId="5D68BFBF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41-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Kusminski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CM, Scherer PE. Mitochondrial dysfunction in white adipose tissue. Trends Endocrinol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Metab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2012; 23(9): 435–8.</w:t>
      </w:r>
    </w:p>
    <w:p w14:paraId="1690DD0E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E7D0D52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42- Carmona MC, Lef</w:t>
      </w:r>
      <w:r>
        <w:rPr>
          <w:rFonts w:ascii="Arial" w:hAnsi="Arial" w:cs="Arial"/>
          <w:sz w:val="24"/>
          <w:szCs w:val="24"/>
          <w:lang w:val="en-US"/>
        </w:rPr>
        <w:t xml:space="preserve">ebvre P, Lefebvre B,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Galinier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Jeanson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et al. Coadministration of coenzyme Q prevents rosiglitazone-induced adipogenesis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mice. Int J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Obes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2009; 33:204–7.</w:t>
      </w:r>
    </w:p>
    <w:p w14:paraId="2E74D536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3244AF6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43- Bour S, Carmona MC,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Galinier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A, Caspar-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Bauguil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S, Van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Staels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B,</w:t>
      </w:r>
    </w:p>
    <w:p w14:paraId="325CB11C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enicaud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Casteilla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L: Coenzyme Q as an antiadipogenic factor.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Antioxid</w:t>
      </w:r>
      <w:proofErr w:type="spellEnd"/>
    </w:p>
    <w:p w14:paraId="29034EAC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Redox Signal. 2011; 14:403–10.</w:t>
      </w:r>
    </w:p>
    <w:p w14:paraId="7EEDEB9B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8749252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44- Ford ES. Risks for all-cause mortality, cardiovascular disease, and diabetes associated with the metabolic syndrome a summary of the evidence. </w:t>
      </w:r>
      <w:r>
        <w:rPr>
          <w:rFonts w:ascii="Arial" w:hAnsi="Arial" w:cs="Arial"/>
          <w:iCs/>
          <w:sz w:val="24"/>
          <w:szCs w:val="24"/>
          <w:lang w:val="en-US"/>
        </w:rPr>
        <w:t>Diab</w:t>
      </w:r>
      <w:r>
        <w:rPr>
          <w:rFonts w:ascii="Arial" w:hAnsi="Arial" w:cs="Arial"/>
          <w:iCs/>
          <w:sz w:val="24"/>
          <w:szCs w:val="24"/>
          <w:lang w:val="en-US"/>
        </w:rPr>
        <w:t>etes care.2005;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28:</w:t>
      </w:r>
      <w:r>
        <w:rPr>
          <w:rFonts w:ascii="Arial" w:hAnsi="Arial" w:cs="Arial"/>
          <w:sz w:val="24"/>
          <w:szCs w:val="24"/>
          <w:lang w:val="en-US"/>
        </w:rPr>
        <w:t>1769–9.</w:t>
      </w:r>
    </w:p>
    <w:p w14:paraId="7B1E14C0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C0EF619" w14:textId="77777777" w:rsidR="00C10BE5" w:rsidRDefault="00ED21C1">
      <w:pPr>
        <w:spacing w:after="0" w:line="276" w:lineRule="auto"/>
        <w:jc w:val="both"/>
        <w:rPr>
          <w:rFonts w:ascii="Arial" w:eastAsia="BSGulliver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45- Angelico, F. </w:t>
      </w:r>
      <w:r>
        <w:rPr>
          <w:rFonts w:ascii="Arial" w:hAnsi="Arial" w:cs="Arial"/>
          <w:iCs/>
          <w:sz w:val="24"/>
          <w:szCs w:val="24"/>
          <w:lang w:val="en-US"/>
        </w:rPr>
        <w:t xml:space="preserve">et al. </w:t>
      </w:r>
      <w:r>
        <w:rPr>
          <w:rFonts w:ascii="Arial" w:hAnsi="Arial" w:cs="Arial"/>
          <w:sz w:val="24"/>
          <w:szCs w:val="24"/>
          <w:lang w:val="en-US"/>
        </w:rPr>
        <w:t xml:space="preserve">Insulin resistance, the metabolic syndrome, and nonalcoholic fatty liver disease. </w:t>
      </w:r>
      <w:r>
        <w:rPr>
          <w:rFonts w:ascii="Arial" w:hAnsi="Arial" w:cs="Arial"/>
          <w:iCs/>
          <w:sz w:val="24"/>
          <w:szCs w:val="24"/>
          <w:lang w:val="en-US"/>
        </w:rPr>
        <w:t xml:space="preserve">The Journal of Clinical Endocrinology &amp; Metabolism.2005; </w:t>
      </w:r>
      <w:r>
        <w:rPr>
          <w:rFonts w:ascii="Arial" w:hAnsi="Arial" w:cs="Arial"/>
          <w:bCs/>
          <w:sz w:val="24"/>
          <w:szCs w:val="24"/>
          <w:lang w:val="en-US"/>
        </w:rPr>
        <w:t>90:</w:t>
      </w:r>
      <w:r>
        <w:rPr>
          <w:rFonts w:ascii="Arial" w:hAnsi="Arial" w:cs="Arial"/>
          <w:sz w:val="24"/>
          <w:szCs w:val="24"/>
          <w:lang w:val="en-US"/>
        </w:rPr>
        <w:t>1578–4.</w:t>
      </w:r>
    </w:p>
    <w:p w14:paraId="7503E9BB" w14:textId="77777777" w:rsidR="00C10BE5" w:rsidRDefault="00C10BE5">
      <w:pPr>
        <w:spacing w:after="0" w:line="276" w:lineRule="auto"/>
        <w:jc w:val="both"/>
        <w:rPr>
          <w:rFonts w:ascii="Arial" w:eastAsia="BSGulliver" w:hAnsi="Arial" w:cs="Arial"/>
          <w:sz w:val="24"/>
          <w:szCs w:val="24"/>
          <w:lang w:val="en-US"/>
        </w:rPr>
      </w:pPr>
    </w:p>
    <w:p w14:paraId="322AA42B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46- Clark JM,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Brancati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FL, Diehl AME. Nonalcoholic fa</w:t>
      </w:r>
      <w:r>
        <w:rPr>
          <w:rFonts w:ascii="Arial" w:hAnsi="Arial" w:cs="Arial"/>
          <w:sz w:val="24"/>
          <w:szCs w:val="24"/>
          <w:lang w:val="en-US"/>
        </w:rPr>
        <w:t xml:space="preserve">tty liver disease: the most common cause of abnormal liver enzymes in the US population. </w:t>
      </w:r>
      <w:r>
        <w:rPr>
          <w:rFonts w:ascii="Arial" w:hAnsi="Arial" w:cs="Arial"/>
          <w:iCs/>
          <w:sz w:val="24"/>
          <w:szCs w:val="24"/>
          <w:lang w:val="en-US"/>
        </w:rPr>
        <w:t>Gastroenterology.2001;120:</w:t>
      </w:r>
      <w:r>
        <w:rPr>
          <w:rFonts w:ascii="Arial" w:hAnsi="Arial" w:cs="Arial"/>
          <w:sz w:val="24"/>
          <w:szCs w:val="24"/>
          <w:lang w:val="en-US"/>
        </w:rPr>
        <w:t>65.</w:t>
      </w:r>
    </w:p>
    <w:p w14:paraId="28E8DB91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83C0A45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47-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Farrel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GC, Rooyen DV, Gan L,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Chitturi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S. NASH is 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Infl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ammatory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Disorder: Pathogenic, Prognostic and Therapeutic </w:t>
      </w:r>
      <w:r>
        <w:rPr>
          <w:rFonts w:ascii="Arial" w:hAnsi="Arial" w:cs="Arial"/>
          <w:sz w:val="24"/>
          <w:szCs w:val="24"/>
          <w:lang w:val="en-US"/>
        </w:rPr>
        <w:t>Implications. Gut and Liver.2012;6(2): 149-22.</w:t>
      </w:r>
    </w:p>
    <w:p w14:paraId="02629C36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C0F7E5D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48-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Gvozdjakova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Kucharska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Mizera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Braunova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Schreinerova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Schramekova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E, et al. Coenzyme Q10 depletion and mitochondrial energy disturbances in rejection development in patients after heart transp</w:t>
      </w:r>
      <w:r>
        <w:rPr>
          <w:rFonts w:ascii="Arial" w:hAnsi="Arial" w:cs="Arial"/>
          <w:sz w:val="24"/>
          <w:szCs w:val="24"/>
          <w:lang w:val="en-US"/>
        </w:rPr>
        <w:t xml:space="preserve">lantation.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BioFactors</w:t>
      </w:r>
      <w:proofErr w:type="spellEnd"/>
      <w:r>
        <w:rPr>
          <w:rFonts w:ascii="Arial" w:hAnsi="Arial" w:cs="Arial"/>
          <w:sz w:val="24"/>
          <w:szCs w:val="24"/>
          <w:lang w:val="en-US"/>
        </w:rPr>
        <w:t>. 1999; 9:301–5.</w:t>
      </w:r>
    </w:p>
    <w:p w14:paraId="196F78DA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7BFD1D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49- McDonnell MG, Archbold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GPR.Plasma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ubiquinol/cholesterol ratios in patients with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hyperlipidaemia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those with diabetes mellitus and in patients requiring dialysis. Clin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Acta. 1996; 253:117–9.</w:t>
      </w:r>
    </w:p>
    <w:p w14:paraId="03AA2B0A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41C885" w14:textId="77777777" w:rsidR="00C10BE5" w:rsidRDefault="00ED21C1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50-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Raygan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F,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Rez</w:t>
      </w:r>
      <w:r>
        <w:rPr>
          <w:rFonts w:ascii="Arial" w:hAnsi="Arial" w:cs="Arial"/>
          <w:bCs/>
          <w:sz w:val="24"/>
          <w:szCs w:val="24"/>
          <w:lang w:val="en-US"/>
        </w:rPr>
        <w:t>avandi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Z, Tehrani SD,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Farrokhian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A,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Asemi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Z. The effects of coenzyme Q10 administration on glucose homeostasis parameters, lipid profiles, biomarkers of inflammation and oxidative stress in patients with metabolic syndrome. </w:t>
      </w:r>
      <w:r>
        <w:rPr>
          <w:rFonts w:ascii="Arial" w:hAnsi="Arial" w:cs="Arial"/>
          <w:sz w:val="24"/>
          <w:szCs w:val="24"/>
          <w:lang w:val="en-US"/>
        </w:rPr>
        <w:t xml:space="preserve">Eur J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Nutr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2015;55(8):2357-7.</w:t>
      </w:r>
    </w:p>
    <w:p w14:paraId="20B65E66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1- Eriksson JG,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Forsen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TJ, Mortensen SA, Rohde M: The effect of coenzymeQ10 administration on metabolic control in patients with type 2 diabetes mellitus.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BioFactors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1999, 9:315–318.</w:t>
      </w:r>
    </w:p>
    <w:p w14:paraId="0F503EDB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4881C32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52-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Rosenfeldt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FL, Haas SJ, Krum H, Hadj A, Ng K, Leong JY, Watts GF. Co</w:t>
      </w:r>
      <w:r>
        <w:rPr>
          <w:rFonts w:ascii="Arial" w:hAnsi="Arial" w:cs="Arial"/>
          <w:sz w:val="24"/>
          <w:szCs w:val="24"/>
          <w:lang w:val="en-US"/>
        </w:rPr>
        <w:t xml:space="preserve">enzyme Q10 in the treatment of hypertension: a meta-analysis of the clinical trials. J Hum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Hypertens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2007; 21:297–9.</w:t>
      </w:r>
    </w:p>
    <w:p w14:paraId="44AE6C53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27E94E6" w14:textId="77777777" w:rsidR="00C10BE5" w:rsidRDefault="00ED21C1">
      <w:pPr>
        <w:spacing w:line="276" w:lineRule="auto"/>
        <w:jc w:val="both"/>
        <w:rPr>
          <w:rFonts w:ascii="Arial" w:eastAsia="MinionPro-Regula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53- </w:t>
      </w:r>
      <w:r>
        <w:rPr>
          <w:rFonts w:ascii="Arial" w:eastAsia="MinionPro-Regular" w:hAnsi="Arial" w:cs="Arial"/>
          <w:sz w:val="24"/>
          <w:szCs w:val="24"/>
          <w:lang w:val="en-US"/>
        </w:rPr>
        <w:t xml:space="preserve">Young JM, </w:t>
      </w:r>
      <w:hyperlink r:id="rId9">
        <w:proofErr w:type="spellStart"/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Florkowski</w:t>
        </w:r>
        <w:proofErr w:type="spellEnd"/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 xml:space="preserve"> CM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10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Mol</w:t>
        </w:r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yneux SL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11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McEwan RG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12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Frampton CM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13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Nicholls MG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14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Scott RS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1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George PM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r>
        <w:rPr>
          <w:rFonts w:ascii="Arial" w:eastAsia="MinionPro-Regular" w:hAnsi="Arial" w:cs="Arial"/>
          <w:sz w:val="24"/>
          <w:szCs w:val="24"/>
          <w:lang w:val="en-US"/>
        </w:rPr>
        <w:t xml:space="preserve"> A Randomized, double-blind, placebo-controlled crossover study of coenzyme Q10 therapy in hypertensive patients </w:t>
      </w:r>
      <w:r>
        <w:rPr>
          <w:rFonts w:ascii="Arial" w:eastAsia="MinionPro-Regular" w:hAnsi="Arial" w:cs="Arial"/>
          <w:sz w:val="24"/>
          <w:szCs w:val="24"/>
          <w:lang w:val="en-US"/>
        </w:rPr>
        <w:t xml:space="preserve">with the metabolic syndrome. </w:t>
      </w:r>
      <w:proofErr w:type="spellStart"/>
      <w:r>
        <w:rPr>
          <w:rFonts w:ascii="Arial" w:eastAsia="MinionPro-Regular" w:hAnsi="Arial" w:cs="Arial"/>
          <w:sz w:val="24"/>
          <w:szCs w:val="24"/>
        </w:rPr>
        <w:t>Am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J </w:t>
      </w:r>
      <w:proofErr w:type="spellStart"/>
      <w:r>
        <w:rPr>
          <w:rFonts w:ascii="Arial" w:eastAsia="MinionPro-Regular" w:hAnsi="Arial" w:cs="Arial"/>
          <w:sz w:val="24"/>
          <w:szCs w:val="24"/>
        </w:rPr>
        <w:t>Hypertens</w:t>
      </w:r>
      <w:proofErr w:type="spellEnd"/>
      <w:r>
        <w:rPr>
          <w:rFonts w:ascii="Arial" w:eastAsia="MinionPro-Regular" w:hAnsi="Arial" w:cs="Arial"/>
          <w:sz w:val="24"/>
          <w:szCs w:val="24"/>
        </w:rPr>
        <w:t>. 2012; 25(2): 261-9.</w:t>
      </w:r>
    </w:p>
    <w:p w14:paraId="7D233935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MinionPro-Regular" w:hAnsi="Arial" w:cs="Arial"/>
          <w:sz w:val="24"/>
          <w:szCs w:val="24"/>
        </w:rPr>
        <w:t xml:space="preserve">54- </w:t>
      </w:r>
      <w:proofErr w:type="spellStart"/>
      <w:r>
        <w:rPr>
          <w:rFonts w:ascii="Arial" w:hAnsi="Arial" w:cs="Arial"/>
          <w:sz w:val="24"/>
          <w:szCs w:val="24"/>
        </w:rPr>
        <w:t>Digiesi</w:t>
      </w:r>
      <w:proofErr w:type="spellEnd"/>
      <w:r>
        <w:rPr>
          <w:rFonts w:ascii="Arial" w:hAnsi="Arial" w:cs="Arial"/>
          <w:sz w:val="24"/>
          <w:szCs w:val="24"/>
        </w:rPr>
        <w:t xml:space="preserve"> V, </w:t>
      </w:r>
      <w:proofErr w:type="spellStart"/>
      <w:r>
        <w:rPr>
          <w:rFonts w:ascii="Arial" w:hAnsi="Arial" w:cs="Arial"/>
          <w:sz w:val="24"/>
          <w:szCs w:val="24"/>
        </w:rPr>
        <w:t>Cantini</w:t>
      </w:r>
      <w:proofErr w:type="spellEnd"/>
      <w:r>
        <w:rPr>
          <w:rFonts w:ascii="Arial" w:hAnsi="Arial" w:cs="Arial"/>
          <w:sz w:val="24"/>
          <w:szCs w:val="24"/>
        </w:rPr>
        <w:t xml:space="preserve"> F, </w:t>
      </w:r>
      <w:proofErr w:type="spellStart"/>
      <w:r>
        <w:rPr>
          <w:rFonts w:ascii="Arial" w:hAnsi="Arial" w:cs="Arial"/>
          <w:sz w:val="24"/>
          <w:szCs w:val="24"/>
        </w:rPr>
        <w:t>Oradei</w:t>
      </w:r>
      <w:proofErr w:type="spellEnd"/>
      <w:r>
        <w:rPr>
          <w:rFonts w:ascii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</w:rPr>
        <w:t>Bisi</w:t>
      </w:r>
      <w:proofErr w:type="spellEnd"/>
      <w:r>
        <w:rPr>
          <w:rFonts w:ascii="Arial" w:hAnsi="Arial" w:cs="Arial"/>
          <w:sz w:val="24"/>
          <w:szCs w:val="24"/>
        </w:rPr>
        <w:t xml:space="preserve"> G, </w:t>
      </w:r>
      <w:proofErr w:type="spellStart"/>
      <w:r>
        <w:rPr>
          <w:rFonts w:ascii="Arial" w:hAnsi="Arial" w:cs="Arial"/>
          <w:sz w:val="24"/>
          <w:szCs w:val="24"/>
        </w:rPr>
        <w:t>Guarino</w:t>
      </w:r>
      <w:proofErr w:type="spellEnd"/>
      <w:r>
        <w:rPr>
          <w:rFonts w:ascii="Arial" w:hAnsi="Arial" w:cs="Arial"/>
          <w:sz w:val="24"/>
          <w:szCs w:val="24"/>
        </w:rPr>
        <w:t xml:space="preserve"> GC, </w:t>
      </w:r>
      <w:proofErr w:type="spellStart"/>
      <w:r>
        <w:rPr>
          <w:rFonts w:ascii="Arial" w:hAnsi="Arial" w:cs="Arial"/>
          <w:sz w:val="24"/>
          <w:szCs w:val="24"/>
        </w:rPr>
        <w:t>Brocchi</w:t>
      </w:r>
      <w:proofErr w:type="spellEnd"/>
      <w:r>
        <w:rPr>
          <w:rFonts w:ascii="Arial" w:hAnsi="Arial" w:cs="Arial"/>
          <w:sz w:val="24"/>
          <w:szCs w:val="24"/>
        </w:rPr>
        <w:t xml:space="preserve"> A, et al. </w:t>
      </w:r>
      <w:r>
        <w:rPr>
          <w:rFonts w:ascii="Arial" w:hAnsi="Arial" w:cs="Arial"/>
          <w:sz w:val="24"/>
          <w:szCs w:val="24"/>
          <w:lang w:val="en-US"/>
        </w:rPr>
        <w:t>Coenzyme Q10 in essential hypertension. Mol Aspects Med. 1994; 15: 257-6.</w:t>
      </w:r>
    </w:p>
    <w:p w14:paraId="4B56979F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40381DB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55-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Marchesini G,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Brizi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M, Bianchi G,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Tomassetti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Bugianesi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Lenzi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M, et al. Nonalcoholic fatty liver disease: a feature of the metabolic syndrome. Diabetes.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2001;50:1844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-50.</w:t>
      </w:r>
    </w:p>
    <w:p w14:paraId="25999942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09945A2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56- Reid AE. Nonalcoholic steatohepatitis and focal fatty liver. In: Feldman M, Friedman LS, Brandt LJ, editors.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leisenger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Fordtran’s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gastrointestinal and liver disease. 9th ed. Philadelphia: Saunders; 2010.</w:t>
      </w:r>
    </w:p>
    <w:p w14:paraId="6311045B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57-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Festi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Colecchia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A, Sacco T, Bondi M,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Roda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E, Marchesini G. Hepatic steatosis in obese patients: clinical aspects and prognostic significance.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Obes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. 20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04; 5:27-15.</w:t>
      </w:r>
    </w:p>
    <w:p w14:paraId="1EE11338" w14:textId="77777777" w:rsidR="00C10BE5" w:rsidRDefault="00ED21C1">
      <w:pPr>
        <w:pStyle w:val="Ttulo1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58-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Farhangi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MA,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Alipour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B,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Jafarvand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Kloshbaten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M. 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Oral coenzyme Q10 supplementation in patients with nonalcoholic fatty liver disease: effects on serum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vaspin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>, chemerin, pentraxin 3, insulin resistance and oxidative stress.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hyperlink r:id="rId16" w:tgtFrame="Archives of medical research.">
        <w:r>
          <w:rPr>
            <w:rStyle w:val="LinkdaInternet"/>
            <w:rFonts w:ascii="Arial" w:hAnsi="Arial" w:cs="Arial"/>
            <w:b w:val="0"/>
            <w:color w:val="000000"/>
            <w:sz w:val="24"/>
            <w:szCs w:val="24"/>
            <w:u w:val="none"/>
            <w:shd w:val="clear" w:color="auto" w:fill="FFFFFF"/>
            <w:lang w:val="en-US"/>
          </w:rPr>
          <w:t>Arch Med Res.</w:t>
        </w:r>
      </w:hyperlink>
      <w:r>
        <w:rPr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 2014; 45(7):589-6.</w:t>
      </w:r>
    </w:p>
    <w:p w14:paraId="3BAAFDFF" w14:textId="77777777" w:rsidR="00C10BE5" w:rsidRDefault="00ED21C1">
      <w:pPr>
        <w:pStyle w:val="Ttulo1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59- Farsi F,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Mohammadshahi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Alavinejad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P,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Rezazadeh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Zarei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Engali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KA.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Functions of coenzyme Q10 supplementation on liver enzymes, markers of systemic inflammation, and adipokines in patients affected by nonalcoholic fatty liver disease: A double-blind, placebo-controlled, randomized clinical trial. </w:t>
      </w:r>
      <w:hyperlink r:id="rId17" w:tgtFrame="Journal of the American College of Nutrition.">
        <w:r>
          <w:rPr>
            <w:rStyle w:val="LinkdaInternet"/>
            <w:rFonts w:ascii="Arial" w:hAnsi="Arial" w:cs="Arial"/>
            <w:b w:val="0"/>
            <w:color w:val="000000"/>
            <w:sz w:val="24"/>
            <w:szCs w:val="24"/>
            <w:u w:val="none"/>
            <w:shd w:val="clear" w:color="auto" w:fill="FFFFFF"/>
          </w:rPr>
          <w:t xml:space="preserve">J </w:t>
        </w:r>
        <w:proofErr w:type="spellStart"/>
        <w:r>
          <w:rPr>
            <w:rStyle w:val="LinkdaInternet"/>
            <w:rFonts w:ascii="Arial" w:hAnsi="Arial" w:cs="Arial"/>
            <w:b w:val="0"/>
            <w:color w:val="000000"/>
            <w:sz w:val="24"/>
            <w:szCs w:val="24"/>
            <w:u w:val="none"/>
            <w:shd w:val="clear" w:color="auto" w:fill="FFFFFF"/>
          </w:rPr>
          <w:t>Am</w:t>
        </w:r>
        <w:proofErr w:type="spellEnd"/>
        <w:r>
          <w:rPr>
            <w:rStyle w:val="LinkdaInternet"/>
            <w:rFonts w:ascii="Arial" w:hAnsi="Arial" w:cs="Arial"/>
            <w:b w:val="0"/>
            <w:color w:val="000000"/>
            <w:sz w:val="24"/>
            <w:szCs w:val="24"/>
            <w:u w:val="none"/>
            <w:shd w:val="clear" w:color="auto" w:fill="FFFFFF"/>
          </w:rPr>
          <w:t xml:space="preserve"> Coll Nutr.</w:t>
        </w:r>
      </w:hyperlink>
      <w:r>
        <w:rPr>
          <w:rFonts w:ascii="Arial" w:hAnsi="Arial" w:cs="Arial"/>
          <w:b w:val="0"/>
          <w:sz w:val="24"/>
          <w:szCs w:val="24"/>
          <w:shd w:val="clear" w:color="auto" w:fill="FFFFFF"/>
        </w:rPr>
        <w:t> 2016 ;35(4):346-53</w:t>
      </w:r>
    </w:p>
    <w:p w14:paraId="29DEF163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60- </w:t>
      </w:r>
      <w:proofErr w:type="spellStart"/>
      <w:r>
        <w:rPr>
          <w:rFonts w:ascii="Arial" w:hAnsi="Arial" w:cs="Arial"/>
          <w:sz w:val="24"/>
          <w:szCs w:val="24"/>
        </w:rPr>
        <w:t>Bello</w:t>
      </w:r>
      <w:proofErr w:type="spellEnd"/>
      <w:r>
        <w:rPr>
          <w:rFonts w:ascii="Arial" w:hAnsi="Arial" w:cs="Arial"/>
          <w:sz w:val="24"/>
          <w:szCs w:val="24"/>
        </w:rPr>
        <w:t xml:space="preserve"> RI, Gomez-Diaz C, </w:t>
      </w:r>
      <w:proofErr w:type="spellStart"/>
      <w:r>
        <w:rPr>
          <w:rFonts w:ascii="Arial" w:hAnsi="Arial" w:cs="Arial"/>
          <w:sz w:val="24"/>
          <w:szCs w:val="24"/>
        </w:rPr>
        <w:t>Buron</w:t>
      </w:r>
      <w:proofErr w:type="spellEnd"/>
      <w:r>
        <w:rPr>
          <w:rFonts w:ascii="Arial" w:hAnsi="Arial" w:cs="Arial"/>
          <w:sz w:val="24"/>
          <w:szCs w:val="24"/>
        </w:rPr>
        <w:t xml:space="preserve"> MI, </w:t>
      </w:r>
      <w:proofErr w:type="spellStart"/>
      <w:r>
        <w:rPr>
          <w:rFonts w:ascii="Arial" w:hAnsi="Arial" w:cs="Arial"/>
          <w:sz w:val="24"/>
          <w:szCs w:val="24"/>
        </w:rPr>
        <w:t>Alcain</w:t>
      </w:r>
      <w:proofErr w:type="spellEnd"/>
      <w:r>
        <w:rPr>
          <w:rFonts w:ascii="Arial" w:hAnsi="Arial" w:cs="Arial"/>
          <w:sz w:val="24"/>
          <w:szCs w:val="24"/>
        </w:rPr>
        <w:t xml:space="preserve"> FJ, </w:t>
      </w:r>
      <w:proofErr w:type="spellStart"/>
      <w:r>
        <w:rPr>
          <w:rFonts w:ascii="Arial" w:hAnsi="Arial" w:cs="Arial"/>
          <w:sz w:val="24"/>
          <w:szCs w:val="24"/>
        </w:rPr>
        <w:t>Navas</w:t>
      </w:r>
      <w:proofErr w:type="spellEnd"/>
      <w:r>
        <w:rPr>
          <w:rFonts w:ascii="Arial" w:hAnsi="Arial" w:cs="Arial"/>
          <w:sz w:val="24"/>
          <w:szCs w:val="24"/>
        </w:rPr>
        <w:t xml:space="preserve"> P, </w:t>
      </w:r>
      <w:proofErr w:type="spellStart"/>
      <w:r>
        <w:rPr>
          <w:rFonts w:ascii="Arial" w:hAnsi="Arial" w:cs="Arial"/>
          <w:sz w:val="24"/>
          <w:szCs w:val="24"/>
        </w:rPr>
        <w:t>Villalba</w:t>
      </w:r>
      <w:proofErr w:type="spellEnd"/>
      <w:r>
        <w:rPr>
          <w:rFonts w:ascii="Arial" w:hAnsi="Arial" w:cs="Arial"/>
          <w:sz w:val="24"/>
          <w:szCs w:val="24"/>
        </w:rPr>
        <w:t xml:space="preserve"> JM. </w:t>
      </w:r>
      <w:r>
        <w:rPr>
          <w:rFonts w:ascii="Arial" w:hAnsi="Arial" w:cs="Arial"/>
          <w:sz w:val="24"/>
          <w:szCs w:val="24"/>
          <w:lang w:val="en-US"/>
        </w:rPr>
        <w:t xml:space="preserve">Enhanced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anti-oxidant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protection of liver membranes in long-l</w:t>
      </w:r>
      <w:r>
        <w:rPr>
          <w:rFonts w:ascii="Arial" w:hAnsi="Arial" w:cs="Arial"/>
          <w:sz w:val="24"/>
          <w:szCs w:val="24"/>
          <w:lang w:val="en-US"/>
        </w:rPr>
        <w:t>ived rats fed on a</w:t>
      </w:r>
    </w:p>
    <w:p w14:paraId="68DF1CF5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coenzyme Q10-supplemented diet. Exp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Gerontol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2005;40:694</w:t>
      </w:r>
      <w:proofErr w:type="gramEnd"/>
      <w:r>
        <w:rPr>
          <w:rFonts w:ascii="Arial" w:hAnsi="Arial" w:cs="Arial"/>
          <w:sz w:val="24"/>
          <w:szCs w:val="24"/>
          <w:lang w:val="en-US"/>
        </w:rPr>
        <w:t>–12.</w:t>
      </w:r>
    </w:p>
    <w:p w14:paraId="5266D378" w14:textId="77777777" w:rsidR="00C10BE5" w:rsidRDefault="00ED21C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61- Fouad AA,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Jresat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I. Hepatoprotective effect of coenzyme Q10 in rats with</w:t>
      </w:r>
    </w:p>
    <w:p w14:paraId="4DCB9515" w14:textId="77777777" w:rsidR="00C10BE5" w:rsidRDefault="00ED21C1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acetaminophen toxicity. Environ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Toxicol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2012; 33:158–9.</w:t>
      </w:r>
    </w:p>
    <w:p w14:paraId="16233573" w14:textId="77777777" w:rsidR="00C10BE5" w:rsidRDefault="00C10BE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  <w:sectPr w:rsidR="00C10BE5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14:paraId="5FC6490D" w14:textId="77777777" w:rsidR="00C10BE5" w:rsidRDefault="00ED21C1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Tabela 1</w:t>
      </w:r>
      <w:r>
        <w:rPr>
          <w:rFonts w:ascii="Arial" w:hAnsi="Arial" w:cs="Arial"/>
          <w:sz w:val="28"/>
          <w:szCs w:val="24"/>
        </w:rPr>
        <w:t xml:space="preserve">. </w:t>
      </w:r>
      <w:r>
        <w:rPr>
          <w:rFonts w:ascii="Arial" w:hAnsi="Arial" w:cs="Arial"/>
          <w:sz w:val="28"/>
          <w:szCs w:val="24"/>
        </w:rPr>
        <w:t>Estudos com CoQ10 na Síndrome Metabólica ou Doença Hepática Gordurosa Não Alcóolica.</w:t>
      </w:r>
    </w:p>
    <w:tbl>
      <w:tblPr>
        <w:tblStyle w:val="Tabelacomgrade"/>
        <w:tblW w:w="160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7"/>
        <w:gridCol w:w="2127"/>
        <w:gridCol w:w="5676"/>
        <w:gridCol w:w="3735"/>
      </w:tblGrid>
      <w:tr w:rsidR="00C10BE5" w14:paraId="7CACDF35" w14:textId="77777777">
        <w:trPr>
          <w:trHeight w:val="646"/>
        </w:trPr>
        <w:tc>
          <w:tcPr>
            <w:tcW w:w="4536" w:type="dxa"/>
          </w:tcPr>
          <w:p w14:paraId="54ED747A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Estudo</w:t>
            </w:r>
          </w:p>
        </w:tc>
        <w:tc>
          <w:tcPr>
            <w:tcW w:w="2127" w:type="dxa"/>
          </w:tcPr>
          <w:p w14:paraId="349A56B8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Autor/Ano</w:t>
            </w:r>
          </w:p>
        </w:tc>
        <w:tc>
          <w:tcPr>
            <w:tcW w:w="5676" w:type="dxa"/>
          </w:tcPr>
          <w:p w14:paraId="1FFDA7FD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Métodos</w:t>
            </w:r>
          </w:p>
        </w:tc>
        <w:tc>
          <w:tcPr>
            <w:tcW w:w="3735" w:type="dxa"/>
          </w:tcPr>
          <w:p w14:paraId="612251E6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Resultados</w:t>
            </w:r>
          </w:p>
        </w:tc>
      </w:tr>
      <w:tr w:rsidR="00C10BE5" w14:paraId="3FA39422" w14:textId="77777777">
        <w:trPr>
          <w:trHeight w:val="1146"/>
        </w:trPr>
        <w:tc>
          <w:tcPr>
            <w:tcW w:w="4536" w:type="dxa"/>
          </w:tcPr>
          <w:p w14:paraId="0EFC01B9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MinionPro-Regular" w:hAnsi="Arial" w:cs="Arial"/>
                <w:b/>
                <w:sz w:val="24"/>
                <w:szCs w:val="24"/>
                <w:lang w:val="en-US"/>
              </w:rPr>
              <w:t xml:space="preserve">A Randomized, Double-Blind, Placebo-Controlled Crossover Study of Coenzyme Q10 Therapy in Hypertensive Patients </w:t>
            </w:r>
            <w:proofErr w:type="gramStart"/>
            <w:r>
              <w:rPr>
                <w:rFonts w:ascii="Arial" w:eastAsia="MinionPro-Regular" w:hAnsi="Arial" w:cs="Arial"/>
                <w:b/>
                <w:sz w:val="24"/>
                <w:szCs w:val="24"/>
                <w:lang w:val="en-US"/>
              </w:rPr>
              <w:t>With</w:t>
            </w:r>
            <w:proofErr w:type="gramEnd"/>
            <w:r>
              <w:rPr>
                <w:rFonts w:ascii="Arial" w:eastAsia="MinionPro-Regular" w:hAnsi="Arial" w:cs="Arial"/>
                <w:b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Arial" w:eastAsia="MinionPro-Regular" w:hAnsi="Arial" w:cs="Arial"/>
                <w:b/>
                <w:sz w:val="24"/>
                <w:szCs w:val="24"/>
                <w:lang w:val="en-US"/>
              </w:rPr>
              <w:t>Metabolic Syndrome</w:t>
            </w:r>
          </w:p>
        </w:tc>
        <w:tc>
          <w:tcPr>
            <w:tcW w:w="2127" w:type="dxa"/>
          </w:tcPr>
          <w:p w14:paraId="74DAC748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eastAsia="MinionPro-Regular" w:hAnsi="Arial" w:cs="Arial"/>
                <w:i/>
                <w:sz w:val="24"/>
                <w:szCs w:val="24"/>
                <w:lang w:val="en-US"/>
              </w:rPr>
              <w:t xml:space="preserve">Joanna M. Young et al, 2012 </w:t>
            </w:r>
            <w:r>
              <w:rPr>
                <w:rFonts w:ascii="Arial" w:eastAsia="MinionPro-Regular" w:hAnsi="Arial" w:cs="Arial"/>
                <w:i/>
                <w:sz w:val="24"/>
                <w:szCs w:val="24"/>
                <w:vertAlign w:val="superscript"/>
                <w:lang w:val="en-US"/>
              </w:rPr>
              <w:t>53</w:t>
            </w:r>
          </w:p>
        </w:tc>
        <w:tc>
          <w:tcPr>
            <w:tcW w:w="5676" w:type="dxa"/>
          </w:tcPr>
          <w:p w14:paraId="081C1463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Randomizado, duplo-cego, controlado com placebo</w:t>
            </w:r>
          </w:p>
          <w:p w14:paraId="3846DDED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30 indivíduos com SM, Diabetes Mellitus tipo 2 e controle inadequado da PA </w:t>
            </w:r>
          </w:p>
          <w:p w14:paraId="11BC9D46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100 mg (duas vezes ao dia) </w:t>
            </w:r>
          </w:p>
          <w:p w14:paraId="0BEA478C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semanas</w:t>
            </w:r>
          </w:p>
        </w:tc>
        <w:tc>
          <w:tcPr>
            <w:tcW w:w="3735" w:type="dxa"/>
          </w:tcPr>
          <w:p w14:paraId="35C7736B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 coenzima Q10 foi bem tolerada e não </w:t>
            </w:r>
            <w:r>
              <w:rPr>
                <w:rFonts w:ascii="Arial" w:eastAsia="Calibri" w:hAnsi="Arial" w:cs="Arial"/>
                <w:sz w:val="24"/>
                <w:szCs w:val="24"/>
              </w:rPr>
              <w:t>foi associada a quaisquer alterações clinicamente relevantes na pressão arterial.</w:t>
            </w:r>
          </w:p>
        </w:tc>
      </w:tr>
      <w:tr w:rsidR="00C10BE5" w14:paraId="61E4BC76" w14:textId="77777777">
        <w:trPr>
          <w:trHeight w:val="1146"/>
        </w:trPr>
        <w:tc>
          <w:tcPr>
            <w:tcW w:w="4536" w:type="dxa"/>
          </w:tcPr>
          <w:p w14:paraId="0176A20A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The effects of coenzyme Q10 administration on glucose homeostasis parameters, lipid profiles, biomarkers of inflammation and oxidative stress in patients with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metabolic syndrome</w:t>
            </w:r>
          </w:p>
          <w:p w14:paraId="3F330A43" w14:textId="77777777" w:rsidR="00C10BE5" w:rsidRDefault="00C10B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1D81C3" w14:textId="77777777" w:rsidR="00C10BE5" w:rsidRDefault="00C10B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B07D77B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  <w:lang w:val="en-US"/>
              </w:rPr>
              <w:t>Fariba</w:t>
            </w:r>
            <w:proofErr w:type="spellEnd"/>
            <w:r>
              <w:rPr>
                <w:rFonts w:ascii="Arial" w:eastAsia="Calibri" w:hAnsi="Arial" w:cs="Arial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  <w:lang w:val="en-US"/>
              </w:rPr>
              <w:t>Raygan</w:t>
            </w:r>
            <w:proofErr w:type="spellEnd"/>
            <w:r>
              <w:rPr>
                <w:rFonts w:ascii="Arial" w:eastAsia="Calibri" w:hAnsi="Arial" w:cs="Arial"/>
                <w:bCs/>
                <w:i/>
                <w:sz w:val="24"/>
                <w:szCs w:val="24"/>
                <w:lang w:val="en-US"/>
              </w:rPr>
              <w:t xml:space="preserve"> et al, 2015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  <w:vertAlign w:val="superscript"/>
                <w:lang w:val="en-US"/>
              </w:rPr>
              <w:t>50</w:t>
            </w:r>
          </w:p>
          <w:p w14:paraId="16E241A8" w14:textId="77777777" w:rsidR="00C10BE5" w:rsidRDefault="00C10BE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76" w:type="dxa"/>
          </w:tcPr>
          <w:p w14:paraId="00FD97D0" w14:textId="77777777" w:rsidR="00C10BE5" w:rsidRDefault="00ED21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Randomizado, duplo-cego, controlado com placebo. </w:t>
            </w:r>
          </w:p>
          <w:p w14:paraId="1BB5A882" w14:textId="77777777" w:rsidR="00C10BE5" w:rsidRDefault="00ED21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pacientes com sobrepeso ou obesidade com Diabetes Mellitus tipo 2 e doença coronariana.</w:t>
            </w:r>
          </w:p>
          <w:p w14:paraId="230E4192" w14:textId="77777777" w:rsidR="00C10BE5" w:rsidRDefault="00ED21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 mg/dia</w:t>
            </w:r>
          </w:p>
          <w:p w14:paraId="74F641CF" w14:textId="77777777" w:rsidR="00C10BE5" w:rsidRDefault="00ED21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semanas</w:t>
            </w:r>
          </w:p>
        </w:tc>
        <w:tc>
          <w:tcPr>
            <w:tcW w:w="3735" w:type="dxa"/>
          </w:tcPr>
          <w:p w14:paraId="26479A80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↓</w:t>
            </w:r>
            <w:r>
              <w:rPr>
                <w:rFonts w:ascii="Arial" w:eastAsia="Calibri" w:hAnsi="Arial" w:cs="Arial"/>
                <w:sz w:val="24"/>
                <w:szCs w:val="24"/>
              </w:rPr>
              <w:t>Níveis séricos de insulina (HOMA – IR e HO</w:t>
            </w:r>
            <w:r>
              <w:rPr>
                <w:rFonts w:ascii="Arial" w:eastAsia="Calibri" w:hAnsi="Arial" w:cs="Arial"/>
                <w:sz w:val="24"/>
                <w:szCs w:val="24"/>
              </w:rPr>
              <w:t>MA – B);</w:t>
            </w:r>
          </w:p>
          <w:p w14:paraId="23FED8C6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↑ </w:t>
            </w:r>
            <w:r>
              <w:rPr>
                <w:rFonts w:ascii="Arial" w:eastAsia="Calibri" w:hAnsi="Arial" w:cs="Arial"/>
                <w:sz w:val="24"/>
                <w:szCs w:val="24"/>
              </w:rPr>
              <w:t>CAT (porém quando ajustada para IMC e idade essa diferença desapareceu);</w:t>
            </w:r>
          </w:p>
          <w:p w14:paraId="02CEE738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↑ Glutationa Plasmática (tendência)</w:t>
            </w:r>
          </w:p>
          <w:p w14:paraId="5689072A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↓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Malondialdeído</w:t>
            </w:r>
            <w:proofErr w:type="spellEnd"/>
          </w:p>
        </w:tc>
      </w:tr>
      <w:tr w:rsidR="00C10BE5" w14:paraId="333D4BAA" w14:textId="77777777">
        <w:trPr>
          <w:trHeight w:val="1146"/>
        </w:trPr>
        <w:tc>
          <w:tcPr>
            <w:tcW w:w="4536" w:type="dxa"/>
          </w:tcPr>
          <w:p w14:paraId="1F1EE26C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Oral Coenzyme Q10 Supplementation in Patients with Nonalcoholic Fatty Liver Disease: Effects on Serum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Vaspin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Chemerin, Pentraxin 3, Insulin Resistance and Oxidative Stress</w:t>
            </w:r>
          </w:p>
          <w:p w14:paraId="7EE0FDC1" w14:textId="77777777" w:rsidR="00C10BE5" w:rsidRDefault="00C10B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873E1FB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Mahdieh</w:t>
            </w:r>
            <w:proofErr w:type="spellEnd"/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Abbasalizad</w:t>
            </w:r>
            <w:proofErr w:type="spellEnd"/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Farhangi</w:t>
            </w:r>
            <w:proofErr w:type="spellEnd"/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et al, 2014 </w:t>
            </w:r>
            <w:r>
              <w:rPr>
                <w:rFonts w:ascii="Arial" w:eastAsia="Calibri" w:hAnsi="Arial" w:cs="Arial"/>
                <w:i/>
                <w:sz w:val="24"/>
                <w:szCs w:val="24"/>
                <w:vertAlign w:val="superscript"/>
                <w:lang w:val="en-US"/>
              </w:rPr>
              <w:t>58</w:t>
            </w:r>
          </w:p>
        </w:tc>
        <w:tc>
          <w:tcPr>
            <w:tcW w:w="5676" w:type="dxa"/>
          </w:tcPr>
          <w:p w14:paraId="30B1203E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Randomizado, duplo-cego, controlado com placebo. </w:t>
            </w:r>
          </w:p>
          <w:p w14:paraId="162EBDFF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44 indivíduos com DHGNA  </w:t>
            </w:r>
          </w:p>
          <w:p w14:paraId="1A3BA074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 mg/dia</w:t>
            </w:r>
          </w:p>
          <w:p w14:paraId="7C873A2F" w14:textId="77777777" w:rsidR="00C10BE5" w:rsidRDefault="00ED21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 semanas</w:t>
            </w:r>
          </w:p>
        </w:tc>
        <w:tc>
          <w:tcPr>
            <w:tcW w:w="3735" w:type="dxa"/>
          </w:tcPr>
          <w:p w14:paraId="6AD0182E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Circunferência Abdominal</w:t>
            </w:r>
          </w:p>
          <w:p w14:paraId="4C3C8755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AST</w:t>
            </w:r>
          </w:p>
          <w:p w14:paraId="4920B400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CAT</w:t>
            </w:r>
          </w:p>
          <w:p w14:paraId="06A641F7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↓ </w:t>
            </w:r>
            <w:r>
              <w:rPr>
                <w:rFonts w:ascii="Arial" w:eastAsia="Calibri" w:hAnsi="Arial" w:cs="Arial"/>
                <w:sz w:val="24"/>
                <w:szCs w:val="24"/>
              </w:rPr>
              <w:t>Glicemia Jejum 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stepwise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) foi um preditor significativo de alterações na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vaspina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sérica,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chemerina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pentraxina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3.</w:t>
            </w:r>
          </w:p>
        </w:tc>
      </w:tr>
      <w:tr w:rsidR="00C10BE5" w14:paraId="2D0B05E3" w14:textId="77777777">
        <w:trPr>
          <w:trHeight w:val="699"/>
        </w:trPr>
        <w:tc>
          <w:tcPr>
            <w:tcW w:w="4536" w:type="dxa"/>
          </w:tcPr>
          <w:p w14:paraId="518C95AB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Functions of Coenzyme Q10 Supplementation on Liver Enzymes, Markers of Systemic Inflammation, and Adipokines in Patients Affected by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Nonalcoholic Fatty Liver Disease: A Double-Blind, Placebo-Controlled, Randomized Clinical Trial</w:t>
            </w:r>
          </w:p>
        </w:tc>
        <w:tc>
          <w:tcPr>
            <w:tcW w:w="2127" w:type="dxa"/>
          </w:tcPr>
          <w:p w14:paraId="1956A3F4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Farnaz Farsi et al, 2015</w:t>
            </w:r>
            <w:r>
              <w:rPr>
                <w:rFonts w:ascii="Arial" w:eastAsia="Calibri" w:hAnsi="Arial" w:cs="Arial"/>
                <w:i/>
                <w:sz w:val="24"/>
                <w:szCs w:val="24"/>
                <w:vertAlign w:val="superscript"/>
                <w:lang w:val="en-US"/>
              </w:rPr>
              <w:t xml:space="preserve"> 59</w:t>
            </w:r>
          </w:p>
          <w:p w14:paraId="2BDC9185" w14:textId="77777777" w:rsidR="00C10BE5" w:rsidRDefault="00C10B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6" w:type="dxa"/>
          </w:tcPr>
          <w:p w14:paraId="47C778E7" w14:textId="77777777" w:rsidR="00C10BE5" w:rsidRDefault="00ED21C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Randomizado, duplo-cego, controlado com placebo. </w:t>
            </w:r>
          </w:p>
          <w:p w14:paraId="4A760ABD" w14:textId="77777777" w:rsidR="00C10BE5" w:rsidRDefault="00ED21C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41 indivíduos com DHGNA  </w:t>
            </w:r>
          </w:p>
          <w:p w14:paraId="2D86BFD1" w14:textId="77777777" w:rsidR="00C10BE5" w:rsidRDefault="00ED21C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 mg/dia</w:t>
            </w:r>
          </w:p>
          <w:p w14:paraId="25796F86" w14:textId="77777777" w:rsidR="00C10BE5" w:rsidRDefault="00ED21C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semanas</w:t>
            </w:r>
          </w:p>
        </w:tc>
        <w:tc>
          <w:tcPr>
            <w:tcW w:w="3735" w:type="dxa"/>
          </w:tcPr>
          <w:p w14:paraId="3EB81CCE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AST</w:t>
            </w:r>
          </w:p>
          <w:p w14:paraId="3835DC5C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GGT</w:t>
            </w:r>
          </w:p>
          <w:p w14:paraId="055380E1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↓ Proteína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C-Reativa</w:t>
            </w:r>
            <w:proofErr w:type="spellEnd"/>
          </w:p>
          <w:p w14:paraId="6F83E7D7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Fator de Necrose Tumoral</w:t>
            </w:r>
          </w:p>
          <w:p w14:paraId="32621479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DHGNA</w:t>
            </w:r>
          </w:p>
          <w:p w14:paraId="77B8390D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↑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Adiponectina</w:t>
            </w:r>
            <w:proofErr w:type="spellEnd"/>
          </w:p>
          <w:p w14:paraId="7171926B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↑</w:t>
            </w:r>
            <w:r>
              <w:rPr>
                <w:rFonts w:ascii="Arial" w:eastAsia="Calibri" w:hAnsi="Arial" w:cs="Arial"/>
                <w:sz w:val="24"/>
                <w:szCs w:val="24"/>
              </w:rPr>
              <w:t>Leptina sérica</w:t>
            </w:r>
          </w:p>
        </w:tc>
      </w:tr>
      <w:tr w:rsidR="00C10BE5" w14:paraId="457EDA83" w14:textId="77777777">
        <w:trPr>
          <w:trHeight w:val="1146"/>
        </w:trPr>
        <w:tc>
          <w:tcPr>
            <w:tcW w:w="4536" w:type="dxa"/>
          </w:tcPr>
          <w:p w14:paraId="1AEDA86A" w14:textId="77777777" w:rsidR="00C10BE5" w:rsidRDefault="00ED21C1">
            <w:pPr>
              <w:shd w:val="clear" w:color="auto" w:fill="FFFFFF"/>
              <w:spacing w:before="120" w:after="12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en-US" w:eastAsia="pt-BR"/>
              </w:rPr>
              <w:t>T</w:t>
            </w:r>
            <w:bookmarkStart w:id="0" w:name="_GoBack1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en-US" w:eastAsia="pt-BR"/>
              </w:rPr>
              <w:t>he effect of coenzyme Q10 administration on metabolic control in patients with type 2 diabetes mellitus</w:t>
            </w:r>
          </w:p>
          <w:p w14:paraId="2A62A0E8" w14:textId="77777777" w:rsidR="00C10BE5" w:rsidRDefault="00C10B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24C3B92D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Eriksson</w:t>
            </w:r>
            <w:proofErr w:type="spellEnd"/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JG et al, 1999 </w:t>
            </w:r>
            <w:r>
              <w:rPr>
                <w:rFonts w:ascii="Arial" w:eastAsia="Calibri" w:hAnsi="Arial" w:cs="Arial"/>
                <w:i/>
                <w:sz w:val="24"/>
                <w:szCs w:val="24"/>
                <w:vertAlign w:val="superscript"/>
              </w:rPr>
              <w:t>51</w:t>
            </w:r>
          </w:p>
          <w:p w14:paraId="03A3C579" w14:textId="77777777" w:rsidR="00C10BE5" w:rsidRDefault="00C10BE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DB696E" w14:textId="77777777" w:rsidR="00C10BE5" w:rsidRDefault="00C10BE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6" w:type="dxa"/>
          </w:tcPr>
          <w:p w14:paraId="48687CD3" w14:textId="77777777" w:rsidR="00C10BE5" w:rsidRDefault="00ED21C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Randomizado, duplo-cego, controlado com </w:t>
            </w:r>
            <w:r>
              <w:rPr>
                <w:rFonts w:ascii="Arial" w:eastAsia="Calibri" w:hAnsi="Arial" w:cs="Arial"/>
                <w:sz w:val="24"/>
                <w:szCs w:val="24"/>
              </w:rPr>
              <w:t>placebo.</w:t>
            </w:r>
          </w:p>
          <w:p w14:paraId="6B8978A6" w14:textId="77777777" w:rsidR="00C10BE5" w:rsidRDefault="00ED21C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 indivíduos com diabetes mellitus tipo 2</w:t>
            </w:r>
          </w:p>
          <w:p w14:paraId="13E67BE2" w14:textId="77777777" w:rsidR="00C10BE5" w:rsidRDefault="00ED21C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 mg/dia</w:t>
            </w:r>
          </w:p>
          <w:p w14:paraId="0C2B3F15" w14:textId="77777777" w:rsidR="00C10BE5" w:rsidRDefault="00ED21C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 semanas</w:t>
            </w:r>
          </w:p>
        </w:tc>
        <w:tc>
          <w:tcPr>
            <w:tcW w:w="3735" w:type="dxa"/>
          </w:tcPr>
          <w:p w14:paraId="721FC205" w14:textId="77777777" w:rsidR="00C10BE5" w:rsidRDefault="00ED21C1">
            <w:pPr>
              <w:pStyle w:val="Pr-formataoHTML"/>
              <w:shd w:val="clear" w:color="auto" w:fill="FFFFFF"/>
              <w:jc w:val="both"/>
              <w:rPr>
                <w:rFonts w:ascii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 xml:space="preserve">Não foram observadas alterações significantes nos parâmetros metabólicos. </w:t>
            </w:r>
          </w:p>
          <w:p w14:paraId="47633F43" w14:textId="77777777" w:rsidR="00C10BE5" w:rsidRDefault="00C10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0BE5" w14:paraId="3646F8CB" w14:textId="77777777">
        <w:trPr>
          <w:trHeight w:val="1146"/>
        </w:trPr>
        <w:tc>
          <w:tcPr>
            <w:tcW w:w="4536" w:type="dxa"/>
          </w:tcPr>
          <w:p w14:paraId="2E91A005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* Coenzyme Q10 in the treatment of</w:t>
            </w:r>
          </w:p>
          <w:p w14:paraId="23B49DC9" w14:textId="77777777" w:rsidR="00C10BE5" w:rsidRDefault="00ED2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hypertension: a meta-analysis of the clinical trials</w:t>
            </w:r>
          </w:p>
        </w:tc>
        <w:tc>
          <w:tcPr>
            <w:tcW w:w="2127" w:type="dxa"/>
          </w:tcPr>
          <w:p w14:paraId="6315E3CF" w14:textId="77777777" w:rsidR="00C10BE5" w:rsidRDefault="00ED21C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Rosenfeldt</w:t>
            </w:r>
            <w:proofErr w:type="spellEnd"/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FL et al, 2007</w:t>
            </w:r>
            <w:r>
              <w:rPr>
                <w:rFonts w:ascii="Arial" w:eastAsia="Calibri" w:hAnsi="Arial" w:cs="Arial"/>
                <w:i/>
                <w:sz w:val="24"/>
                <w:szCs w:val="24"/>
                <w:vertAlign w:val="superscript"/>
              </w:rPr>
              <w:t xml:space="preserve"> 52</w:t>
            </w:r>
          </w:p>
        </w:tc>
        <w:tc>
          <w:tcPr>
            <w:tcW w:w="5676" w:type="dxa"/>
          </w:tcPr>
          <w:p w14:paraId="59D17A74" w14:textId="77777777" w:rsidR="00C10BE5" w:rsidRDefault="00ED21C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Arial" w:eastAsia="Calibri" w:hAnsi="Arial" w:cs="Arial"/>
                <w:sz w:val="24"/>
                <w:szCs w:val="24"/>
              </w:rPr>
              <w:t>ensaios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clínicos</w:t>
            </w:r>
            <w:proofErr w:type="spellEnd"/>
          </w:p>
          <w:p w14:paraId="54539074" w14:textId="77777777" w:rsidR="00C10BE5" w:rsidRDefault="00ED21C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362 </w:t>
            </w:r>
            <w:r>
              <w:rPr>
                <w:rFonts w:ascii="Arial" w:eastAsia="Calibri" w:hAnsi="Arial" w:cs="Arial"/>
                <w:sz w:val="24"/>
                <w:szCs w:val="24"/>
              </w:rPr>
              <w:t>indivíduos</w:t>
            </w:r>
          </w:p>
          <w:p w14:paraId="24D98397" w14:textId="77777777" w:rsidR="00C10BE5" w:rsidRDefault="00ED21C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Hipertensão arterial ou controle inadequado da pressão</w:t>
            </w:r>
          </w:p>
        </w:tc>
        <w:tc>
          <w:tcPr>
            <w:tcW w:w="3735" w:type="dxa"/>
          </w:tcPr>
          <w:p w14:paraId="4799FC57" w14:textId="77777777" w:rsidR="00C10BE5" w:rsidRDefault="00ED2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↓ Pressão Arterial Sistólica e Diastólica</w:t>
            </w:r>
          </w:p>
          <w:p w14:paraId="79727031" w14:textId="77777777" w:rsidR="00C10BE5" w:rsidRDefault="00C10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C35A49" w14:textId="77777777" w:rsidR="00C10BE5" w:rsidRDefault="00ED21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HOMA – IR: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Homeostatic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Model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Assessment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Insuline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Resistence</w:t>
      </w:r>
      <w:proofErr w:type="spellEnd"/>
      <w:r>
        <w:rPr>
          <w:rFonts w:ascii="Arial" w:hAnsi="Arial" w:cs="Arial"/>
          <w:sz w:val="24"/>
          <w:szCs w:val="24"/>
        </w:rPr>
        <w:t>; HOMA – B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Homeostatic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Model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Assessment beta-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cell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function</w:t>
      </w:r>
      <w:proofErr w:type="spellEnd"/>
      <w:r>
        <w:rPr>
          <w:rFonts w:ascii="Arial" w:hAnsi="Arial" w:cs="Arial"/>
          <w:sz w:val="24"/>
          <w:szCs w:val="24"/>
        </w:rPr>
        <w:t xml:space="preserve">; CAT: Capacidade Antioxidante Total; IMC: </w:t>
      </w:r>
      <w:proofErr w:type="spellStart"/>
      <w:r>
        <w:rPr>
          <w:rFonts w:ascii="Arial" w:hAnsi="Arial" w:cs="Arial"/>
          <w:sz w:val="24"/>
          <w:szCs w:val="24"/>
        </w:rPr>
        <w:t>Indíce</w:t>
      </w:r>
      <w:proofErr w:type="spellEnd"/>
      <w:r>
        <w:rPr>
          <w:rFonts w:ascii="Arial" w:hAnsi="Arial" w:cs="Arial"/>
          <w:sz w:val="24"/>
          <w:szCs w:val="24"/>
        </w:rPr>
        <w:t xml:space="preserve"> de Massa Corporal; AST: Aspartato Transaminase; GGT: Gama </w:t>
      </w:r>
      <w:proofErr w:type="spellStart"/>
      <w:r>
        <w:rPr>
          <w:rFonts w:ascii="Arial" w:hAnsi="Arial" w:cs="Arial"/>
          <w:sz w:val="24"/>
          <w:szCs w:val="24"/>
        </w:rPr>
        <w:t>Glutamil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Transpeptidase</w:t>
      </w:r>
      <w:proofErr w:type="spellEnd"/>
      <w:r>
        <w:rPr>
          <w:rFonts w:ascii="Arial" w:hAnsi="Arial" w:cs="Arial"/>
          <w:sz w:val="24"/>
          <w:szCs w:val="24"/>
        </w:rPr>
        <w:t xml:space="preserve">. * </w:t>
      </w:r>
      <w:proofErr w:type="spellStart"/>
      <w:r>
        <w:rPr>
          <w:rFonts w:ascii="Arial" w:hAnsi="Arial" w:cs="Arial"/>
          <w:sz w:val="24"/>
          <w:szCs w:val="24"/>
        </w:rPr>
        <w:t>Metanálise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6B9ADA" w14:textId="77777777" w:rsidR="00C10BE5" w:rsidRDefault="00C10BE5">
      <w:pPr>
        <w:pStyle w:val="PargrafodaLista"/>
      </w:pPr>
    </w:p>
    <w:sectPr w:rsidR="00C10BE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SGulliver">
    <w:panose1 w:val="00000000000000000000"/>
    <w:charset w:val="00"/>
    <w:family w:val="roman"/>
    <w:notTrueType/>
    <w:pitch w:val="default"/>
  </w:font>
  <w:font w:name="EB Garamond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6A1D"/>
    <w:multiLevelType w:val="multilevel"/>
    <w:tmpl w:val="54467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280013"/>
    <w:multiLevelType w:val="multilevel"/>
    <w:tmpl w:val="EEEA335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060713"/>
    <w:multiLevelType w:val="multilevel"/>
    <w:tmpl w:val="495A8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3F4C762F"/>
    <w:multiLevelType w:val="multilevel"/>
    <w:tmpl w:val="8D324C9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61099A"/>
    <w:multiLevelType w:val="multilevel"/>
    <w:tmpl w:val="F47AAC20"/>
    <w:lvl w:ilvl="0">
      <w:start w:val="1"/>
      <w:numFmt w:val="decimalZero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ECB2595"/>
    <w:multiLevelType w:val="multilevel"/>
    <w:tmpl w:val="D88CFB98"/>
    <w:lvl w:ilvl="0">
      <w:start w:val="1"/>
      <w:numFmt w:val="decimalZero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372A9E"/>
    <w:multiLevelType w:val="multilevel"/>
    <w:tmpl w:val="5F56F71E"/>
    <w:lvl w:ilvl="0">
      <w:start w:val="1"/>
      <w:numFmt w:val="decimalZero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E5"/>
    <w:rsid w:val="00C10BE5"/>
    <w:rsid w:val="00E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5EF4"/>
  <w15:docId w15:val="{F5C81F8C-5890-4FE7-8C62-B8AE94E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064C2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uiPriority w:val="99"/>
    <w:semiHidden/>
    <w:qFormat/>
    <w:rsid w:val="00D81C9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F213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213E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F213E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F213E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2361CB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4B38E0"/>
  </w:style>
  <w:style w:type="character" w:customStyle="1" w:styleId="authorsname">
    <w:name w:val="authors__name"/>
    <w:basedOn w:val="Fontepargpadro"/>
    <w:qFormat/>
    <w:rsid w:val="00BA1F0B"/>
  </w:style>
  <w:style w:type="character" w:customStyle="1" w:styleId="Ttulo1Char">
    <w:name w:val="Título 1 Char"/>
    <w:basedOn w:val="Fontepargpadro"/>
    <w:link w:val="Ttulo1"/>
    <w:uiPriority w:val="9"/>
    <w:qFormat/>
    <w:rsid w:val="00064C2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-formataoHTML">
    <w:name w:val="HTML Preformatted"/>
    <w:basedOn w:val="Normal"/>
    <w:uiPriority w:val="99"/>
    <w:semiHidden/>
    <w:unhideWhenUsed/>
    <w:qFormat/>
    <w:rsid w:val="00D8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DF4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213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F213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213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D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oclinic.org/drugs-supplements/coenzyme-q10/interactions/hrb-20059019" TargetMode="External"/><Relationship Id="rId13" Type="http://schemas.openxmlformats.org/officeDocument/2006/relationships/hyperlink" Target="https://www.ncbi.nlm.nih.gov/pubmed/?term=Nicholls%20MG%5BAuthor%5D&amp;cauthor=true&amp;cauthor_uid=221131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cbi.nlm.nih.gov/pubmed/?term=Frampton%20CM%5BAuthor%5D&amp;cauthor=true&amp;cauthor_uid=22113168" TargetMode="External"/><Relationship Id="rId17" Type="http://schemas.openxmlformats.org/officeDocument/2006/relationships/hyperlink" Target="https://www.ncbi.nlm.nih.gov/pubmed/261564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54505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cbi.nlm.nih.gov/pubmed/?term=McEwan%20RG%5BAuthor%5D&amp;cauthor=true&amp;cauthor_uid=2211316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cbi.nlm.nih.gov/pubmed/?term=George%20PM%5BAuthor%5D&amp;cauthor=true&amp;cauthor_uid=22113168" TargetMode="External"/><Relationship Id="rId10" Type="http://schemas.openxmlformats.org/officeDocument/2006/relationships/hyperlink" Target="https://www.ncbi.nlm.nih.gov/pubmed/?term=Molyneux%20SL%5BAuthor%5D&amp;cauthor=true&amp;cauthor_uid=221131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Florkowski%20CM%5BAuthor%5D&amp;cauthor=true&amp;cauthor_uid=22113168" TargetMode="External"/><Relationship Id="rId14" Type="http://schemas.openxmlformats.org/officeDocument/2006/relationships/hyperlink" Target="https://www.ncbi.nlm.nih.gov/pubmed/?term=Scott%20RS%5BAuthor%5D&amp;cauthor=true&amp;cauthor_uid=2211316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5401</Words>
  <Characters>29168</Characters>
  <Application>Microsoft Office Word</Application>
  <DocSecurity>0</DocSecurity>
  <Lines>243</Lines>
  <Paragraphs>68</Paragraphs>
  <ScaleCrop>false</ScaleCrop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Casagrande</dc:creator>
  <dc:description/>
  <cp:lastModifiedBy>Aline Mayrink</cp:lastModifiedBy>
  <cp:revision>2</cp:revision>
  <dcterms:created xsi:type="dcterms:W3CDTF">2020-11-30T22:18:00Z</dcterms:created>
  <dcterms:modified xsi:type="dcterms:W3CDTF">2020-11-30T22:18:00Z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