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0940" w14:textId="77777777" w:rsidR="00564F3F" w:rsidRDefault="00564F3F" w:rsidP="00185AB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3399"/>
        </w:rPr>
      </w:pPr>
    </w:p>
    <w:p w14:paraId="290D73BB" w14:textId="2C7C7402" w:rsidR="00564F3F" w:rsidRDefault="00564F3F" w:rsidP="00564F3F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Calibri"/>
          <w:b/>
          <w:bCs/>
        </w:rPr>
      </w:pPr>
      <w:r w:rsidRPr="00564F3F">
        <w:rPr>
          <w:rFonts w:ascii="Calibri" w:eastAsia="Times New Roman" w:hAnsi="Calibri" w:cs="Calibri"/>
          <w:b/>
          <w:bCs/>
        </w:rPr>
        <w:t xml:space="preserve">QUESTÕES – SEGUNDA AVALIAÇÃO – </w:t>
      </w:r>
      <w:r w:rsidRPr="00564F3F">
        <w:rPr>
          <w:rFonts w:ascii="Calibri" w:eastAsia="Times New Roman" w:hAnsi="Calibri" w:cs="Calibri"/>
          <w:b/>
          <w:bCs/>
        </w:rPr>
        <w:t>DPC0524 - Poder Público em Juízo (2020)</w:t>
      </w:r>
    </w:p>
    <w:p w14:paraId="3D7B43AC" w14:textId="779017C7" w:rsidR="006B6E6D" w:rsidRPr="00564F3F" w:rsidRDefault="006B6E6D" w:rsidP="006B6E6D">
      <w:pPr>
        <w:shd w:val="clear" w:color="auto" w:fill="FFFFFF"/>
        <w:spacing w:after="240" w:line="240" w:lineRule="auto"/>
        <w:rPr>
          <w:rFonts w:ascii="Calibri" w:eastAsia="Times New Roman" w:hAnsi="Calibri" w:cs="Calibri"/>
          <w:b/>
          <w:bCs/>
        </w:rPr>
      </w:pPr>
    </w:p>
    <w:p w14:paraId="2CF90E78" w14:textId="041D94CB" w:rsidR="00185ABB" w:rsidRDefault="00185ABB" w:rsidP="00185ABB">
      <w:pPr>
        <w:shd w:val="clear" w:color="auto" w:fill="FFFFFF"/>
        <w:spacing w:after="240" w:line="240" w:lineRule="auto"/>
        <w:rPr>
          <w:rFonts w:ascii="Calibri" w:eastAsia="Times New Roman" w:hAnsi="Calibri" w:cs="Calibri"/>
          <w:b/>
          <w:bCs/>
        </w:rPr>
      </w:pPr>
      <w:r w:rsidRPr="00185ABB">
        <w:rPr>
          <w:rFonts w:ascii="Calibri" w:eastAsia="Times New Roman" w:hAnsi="Calibri" w:cs="Calibri"/>
          <w:color w:val="003399"/>
        </w:rPr>
        <w:br/>
      </w:r>
      <w:r w:rsidRPr="00185ABB">
        <w:rPr>
          <w:rFonts w:ascii="Calibri" w:eastAsia="Times New Roman" w:hAnsi="Calibri" w:cs="Calibri"/>
          <w:b/>
          <w:bCs/>
        </w:rPr>
        <w:t>1</w:t>
      </w:r>
      <w:r w:rsidR="00B63A8C">
        <w:rPr>
          <w:rFonts w:ascii="Calibri" w:eastAsia="Times New Roman" w:hAnsi="Calibri" w:cs="Calibri"/>
          <w:b/>
          <w:bCs/>
        </w:rPr>
        <w:t>-</w:t>
      </w:r>
      <w:r w:rsidRPr="00185ABB">
        <w:rPr>
          <w:rFonts w:ascii="Calibri" w:eastAsia="Times New Roman" w:hAnsi="Calibri" w:cs="Calibri"/>
        </w:rPr>
        <w:t xml:space="preserve"> </w:t>
      </w:r>
      <w:proofErr w:type="gramStart"/>
      <w:r w:rsidR="00E346E4" w:rsidRPr="00B63A8C">
        <w:rPr>
          <w:rFonts w:ascii="Calibri" w:eastAsia="Times New Roman" w:hAnsi="Calibri" w:cs="Calibri"/>
          <w:b/>
          <w:bCs/>
        </w:rPr>
        <w:t>a</w:t>
      </w:r>
      <w:proofErr w:type="gramEnd"/>
      <w:r w:rsidR="00E346E4" w:rsidRPr="00B63A8C">
        <w:rPr>
          <w:rFonts w:ascii="Calibri" w:eastAsia="Times New Roman" w:hAnsi="Calibri" w:cs="Calibri"/>
          <w:b/>
          <w:bCs/>
        </w:rPr>
        <w:t>)</w:t>
      </w:r>
      <w:r w:rsidR="00E346E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O</w:t>
      </w:r>
      <w:r w:rsidRPr="00185ABB">
        <w:rPr>
          <w:rFonts w:ascii="Calibri" w:eastAsia="Times New Roman" w:hAnsi="Calibri" w:cs="Calibri"/>
        </w:rPr>
        <w:t xml:space="preserve"> procedimento do contencioso administrativo é similar ao do</w:t>
      </w:r>
      <w:r>
        <w:rPr>
          <w:rFonts w:ascii="Calibri" w:eastAsia="Times New Roman" w:hAnsi="Calibri" w:cs="Calibri"/>
        </w:rPr>
        <w:t xml:space="preserve"> </w:t>
      </w:r>
      <w:r w:rsidRPr="00185ABB">
        <w:rPr>
          <w:rFonts w:ascii="Calibri" w:eastAsia="Times New Roman" w:hAnsi="Calibri" w:cs="Calibri"/>
        </w:rPr>
        <w:t xml:space="preserve">processo civil? </w:t>
      </w:r>
      <w:r w:rsidR="00B63A8C" w:rsidRPr="00B63A8C">
        <w:rPr>
          <w:rFonts w:ascii="Calibri" w:eastAsia="Times New Roman" w:hAnsi="Calibri" w:cs="Calibri"/>
          <w:b/>
          <w:bCs/>
        </w:rPr>
        <w:t>b</w:t>
      </w:r>
      <w:r w:rsidR="00E346E4" w:rsidRPr="00B63A8C">
        <w:rPr>
          <w:rFonts w:ascii="Calibri" w:eastAsia="Times New Roman" w:hAnsi="Calibri" w:cs="Calibri"/>
          <w:b/>
          <w:bCs/>
        </w:rPr>
        <w:t>)</w:t>
      </w:r>
      <w:r w:rsidR="00E346E4">
        <w:rPr>
          <w:rFonts w:ascii="Calibri" w:eastAsia="Times New Roman" w:hAnsi="Calibri" w:cs="Calibri"/>
        </w:rPr>
        <w:t xml:space="preserve"> </w:t>
      </w:r>
      <w:r w:rsidRPr="00185ABB">
        <w:rPr>
          <w:rFonts w:ascii="Calibri" w:eastAsia="Times New Roman" w:hAnsi="Calibri" w:cs="Calibri"/>
        </w:rPr>
        <w:t>Em que medida a tutela constitucional do processo atua nesse campo?</w:t>
      </w:r>
      <w:r w:rsidR="00217EA7">
        <w:rPr>
          <w:rFonts w:ascii="Calibri" w:eastAsia="Times New Roman" w:hAnsi="Calibri" w:cs="Calibri"/>
        </w:rPr>
        <w:t xml:space="preserve"> Justifique as repostas.</w:t>
      </w:r>
      <w:r>
        <w:rPr>
          <w:rFonts w:ascii="Calibri" w:eastAsia="Times New Roman" w:hAnsi="Calibri" w:cs="Calibri"/>
        </w:rPr>
        <w:t xml:space="preserve"> </w:t>
      </w:r>
      <w:r w:rsidRPr="00185ABB">
        <w:rPr>
          <w:rFonts w:ascii="Calibri" w:eastAsia="Times New Roman" w:hAnsi="Calibri" w:cs="Calibri"/>
          <w:b/>
          <w:bCs/>
        </w:rPr>
        <w:t>(2,0)</w:t>
      </w:r>
    </w:p>
    <w:p w14:paraId="54AD318D" w14:textId="5F9D7C04" w:rsidR="00217EA7" w:rsidRDefault="00217EA7" w:rsidP="00185ABB">
      <w:pPr>
        <w:shd w:val="clear" w:color="auto" w:fill="FFFFFF"/>
        <w:spacing w:after="240" w:line="240" w:lineRule="auto"/>
        <w:rPr>
          <w:rFonts w:ascii="Calibri" w:eastAsia="Times New Roman" w:hAnsi="Calibri" w:cs="Calibri"/>
        </w:rPr>
      </w:pPr>
      <w:r w:rsidRPr="00217EA7">
        <w:rPr>
          <w:rFonts w:ascii="Calibri" w:eastAsia="Times New Roman" w:hAnsi="Calibri" w:cs="Calibri"/>
          <w:u w:val="single"/>
        </w:rPr>
        <w:t>Resposta</w:t>
      </w:r>
      <w:r>
        <w:rPr>
          <w:rFonts w:ascii="Calibri" w:eastAsia="Times New Roman" w:hAnsi="Calibri" w:cs="Calibri"/>
          <w:u w:val="single"/>
        </w:rPr>
        <w:t xml:space="preserve"> item “a”</w:t>
      </w:r>
      <w:r w:rsidRPr="00217EA7">
        <w:rPr>
          <w:rFonts w:ascii="Calibri" w:eastAsia="Times New Roman" w:hAnsi="Calibri" w:cs="Calibri"/>
        </w:rPr>
        <w:t>:</w:t>
      </w:r>
      <w:r w:rsidR="00061D97">
        <w:rPr>
          <w:rFonts w:ascii="Calibri" w:eastAsia="Times New Roman" w:hAnsi="Calibri" w:cs="Calibri"/>
        </w:rPr>
        <w:t xml:space="preserve"> </w:t>
      </w:r>
    </w:p>
    <w:p w14:paraId="7C46F9BA" w14:textId="5DF9FB6A" w:rsidR="00217EA7" w:rsidRPr="00217EA7" w:rsidRDefault="00217EA7" w:rsidP="00217EA7">
      <w:pPr>
        <w:shd w:val="clear" w:color="auto" w:fill="FFFFFF"/>
        <w:spacing w:after="240" w:line="240" w:lineRule="auto"/>
        <w:rPr>
          <w:rFonts w:ascii="Calibri" w:eastAsia="Times New Roman" w:hAnsi="Calibri" w:cs="Calibri"/>
        </w:rPr>
      </w:pPr>
      <w:r w:rsidRPr="00217EA7">
        <w:rPr>
          <w:rFonts w:ascii="Calibri" w:eastAsia="Times New Roman" w:hAnsi="Calibri" w:cs="Calibri"/>
          <w:u w:val="single"/>
        </w:rPr>
        <w:t>Resposta</w:t>
      </w:r>
      <w:r>
        <w:rPr>
          <w:rFonts w:ascii="Calibri" w:eastAsia="Times New Roman" w:hAnsi="Calibri" w:cs="Calibri"/>
          <w:u w:val="single"/>
        </w:rPr>
        <w:t xml:space="preserve"> item “b”</w:t>
      </w:r>
      <w:r w:rsidRPr="00217EA7">
        <w:rPr>
          <w:rFonts w:ascii="Calibri" w:eastAsia="Times New Roman" w:hAnsi="Calibri" w:cs="Calibri"/>
        </w:rPr>
        <w:t>:</w:t>
      </w:r>
    </w:p>
    <w:p w14:paraId="1140F194" w14:textId="669932FD" w:rsidR="00185ABB" w:rsidRDefault="00185ABB" w:rsidP="00185ABB">
      <w:pPr>
        <w:shd w:val="clear" w:color="auto" w:fill="FFFFFF"/>
        <w:spacing w:after="240" w:line="240" w:lineRule="auto"/>
        <w:rPr>
          <w:rFonts w:ascii="Calibri" w:eastAsia="Times New Roman" w:hAnsi="Calibri" w:cs="Calibri"/>
          <w:b/>
          <w:bCs/>
        </w:rPr>
      </w:pPr>
      <w:r w:rsidRPr="00185ABB">
        <w:rPr>
          <w:rFonts w:ascii="Calibri" w:eastAsia="Times New Roman" w:hAnsi="Calibri" w:cs="Calibri"/>
        </w:rPr>
        <w:br/>
      </w:r>
      <w:r w:rsidRPr="00185ABB">
        <w:rPr>
          <w:rFonts w:ascii="Calibri" w:eastAsia="Times New Roman" w:hAnsi="Calibri" w:cs="Calibri"/>
        </w:rPr>
        <w:br/>
      </w:r>
      <w:r w:rsidRPr="00185ABB">
        <w:rPr>
          <w:rFonts w:ascii="Calibri" w:eastAsia="Times New Roman" w:hAnsi="Calibri" w:cs="Calibri"/>
          <w:b/>
          <w:bCs/>
        </w:rPr>
        <w:t>2</w:t>
      </w:r>
      <w:r w:rsidR="00B63A8C">
        <w:rPr>
          <w:rFonts w:ascii="Calibri" w:eastAsia="Times New Roman" w:hAnsi="Calibri" w:cs="Calibri"/>
          <w:b/>
          <w:bCs/>
        </w:rPr>
        <w:t>-</w:t>
      </w:r>
      <w:r w:rsidRPr="00185AB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</w:t>
      </w:r>
      <w:r w:rsidRPr="00185ABB">
        <w:rPr>
          <w:rFonts w:ascii="Calibri" w:eastAsia="Times New Roman" w:hAnsi="Calibri" w:cs="Calibri"/>
        </w:rPr>
        <w:t>ponte os principais problemas da litigância repetitiva a que está submetido o Estado.</w:t>
      </w:r>
      <w:r w:rsidR="00217EA7">
        <w:rPr>
          <w:rFonts w:ascii="Calibri" w:eastAsia="Times New Roman" w:hAnsi="Calibri" w:cs="Calibri"/>
        </w:rPr>
        <w:t xml:space="preserve"> Justifique.</w:t>
      </w:r>
      <w:r>
        <w:rPr>
          <w:rFonts w:ascii="Calibri" w:eastAsia="Times New Roman" w:hAnsi="Calibri" w:cs="Calibri"/>
        </w:rPr>
        <w:t xml:space="preserve"> </w:t>
      </w:r>
      <w:r w:rsidRPr="00185ABB">
        <w:rPr>
          <w:rFonts w:ascii="Calibri" w:eastAsia="Times New Roman" w:hAnsi="Calibri" w:cs="Calibri"/>
          <w:b/>
          <w:bCs/>
        </w:rPr>
        <w:t>(2,0)</w:t>
      </w:r>
    </w:p>
    <w:p w14:paraId="48554022" w14:textId="6B2FF925" w:rsidR="00217EA7" w:rsidRPr="00217EA7" w:rsidRDefault="00217EA7" w:rsidP="00217EA7">
      <w:pPr>
        <w:shd w:val="clear" w:color="auto" w:fill="FFFFFF"/>
        <w:spacing w:after="240" w:line="240" w:lineRule="auto"/>
        <w:rPr>
          <w:rFonts w:ascii="Calibri" w:eastAsia="Times New Roman" w:hAnsi="Calibri" w:cs="Calibri"/>
        </w:rPr>
      </w:pPr>
      <w:r w:rsidRPr="00217EA7">
        <w:rPr>
          <w:rFonts w:ascii="Calibri" w:eastAsia="Times New Roman" w:hAnsi="Calibri" w:cs="Calibri"/>
          <w:u w:val="single"/>
        </w:rPr>
        <w:t>Resposta</w:t>
      </w:r>
      <w:r w:rsidRPr="00217EA7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 xml:space="preserve"> </w:t>
      </w:r>
    </w:p>
    <w:p w14:paraId="26F6B3D9" w14:textId="77777777" w:rsidR="00185ABB" w:rsidRDefault="00185ABB"/>
    <w:p w14:paraId="6DAC5E80" w14:textId="3E1C4E8C" w:rsidR="00185ABB" w:rsidRDefault="00185ABB" w:rsidP="00185ABB">
      <w:pPr>
        <w:jc w:val="both"/>
      </w:pPr>
      <w:r w:rsidRPr="00185ABB">
        <w:rPr>
          <w:b/>
          <w:bCs/>
        </w:rPr>
        <w:t>3</w:t>
      </w:r>
      <w:r w:rsidR="00B63A8C">
        <w:rPr>
          <w:b/>
          <w:bCs/>
        </w:rPr>
        <w:t>-</w:t>
      </w:r>
      <w:r>
        <w:t xml:space="preserve"> </w:t>
      </w:r>
      <w:r>
        <w:t xml:space="preserve">O Ministério Público Estadual ajuizou ação de improbidade administrativa em desfavor de Miguel e Adelaide, diretores da empresa pública de saneamento do município de </w:t>
      </w:r>
      <w:proofErr w:type="spellStart"/>
      <w:r>
        <w:t>Netunópolis</w:t>
      </w:r>
      <w:proofErr w:type="spellEnd"/>
      <w:r>
        <w:t>, sob o fundamento de que ambos teriam, na qualidade de representantes da referida pessoa jurídica, firmado contratos cujo objeto era a aquisição de equipamentos de purificação de água por preços superiores aos de mercado; e, para tanto, houve captação de recursos mediante operação financeira sem observância das normas legais, com juros também acima dos patamares de mercado – figuras previstas no art. 10, V e VI da Lei de Improbidade Administrativa; do que teria resultado prejuízos ao Erário. A demanda também foi ajuizada em confronto da empresa (privada) vendedora dos equipamentos e da instituição financeira que fez o financiamento. O autor da demanda pediu fossem todos os réus condenados solidariamente a devolver a integralidade dos valores contratados, acrescido de multa civil no importe equivalente ao dobro da condenação principal, além da suspensão de direitos políticos das pessoas físicas e proibição de as empresas de contratar com o Estado.</w:t>
      </w:r>
    </w:p>
    <w:p w14:paraId="08B24665" w14:textId="3C5675C5" w:rsidR="00185ABB" w:rsidRDefault="00185ABB" w:rsidP="00185ABB">
      <w:pPr>
        <w:jc w:val="both"/>
      </w:pPr>
      <w:r>
        <w:t xml:space="preserve">No mesmo dia, foi ajuizada uma ação popular fundada nos mesmos fatos, com base no disposto no art. 4º, II, “a” e V, “b” da Lei da Ação Popular. Contudo, a demanda foi movida em desfavor da empresa pública, por ter sido ela a parte contratante, nos ajustes ilegais e dos quais teriam advindo os prejuízos mencionados; além de ter sido também dirigida em desfavor da vendedora do equipamento e do banco financiador. O autor pediu que fosse reconhecida a invalidade dos negócios jurídicos e que as empresas fossem condenadas a ressarcir o patrimônio público pelo dano causado; que, diversamente do que postulou o Ministério Público, entendia-se ser apenas a diferença entre os valores de mercado e os valores contratados. Quanto aos Diretores, o autor popular justificou sua não-inclusão diante da regra do art. 11, </w:t>
      </w:r>
      <w:r w:rsidRPr="008424DE">
        <w:rPr>
          <w:i/>
          <w:iCs/>
        </w:rPr>
        <w:t>caput</w:t>
      </w:r>
      <w:r w:rsidR="008424DE">
        <w:t>,</w:t>
      </w:r>
      <w:r>
        <w:t xml:space="preserve"> da citada lei, que ressalva eventual demanda regressiva contra os funcionários causadores da ilegalidade/dano.</w:t>
      </w:r>
    </w:p>
    <w:p w14:paraId="4F781A5C" w14:textId="615E49CC" w:rsidR="00185ABB" w:rsidRDefault="00185ABB" w:rsidP="00185ABB">
      <w:pPr>
        <w:jc w:val="both"/>
        <w:rPr>
          <w:b/>
          <w:bCs/>
        </w:rPr>
      </w:pPr>
      <w:r w:rsidRPr="006D3414">
        <w:t xml:space="preserve">Como juiz(a) da Vara única da Comarca para a qual foram dirigidas as duas demandas, profira fundamentada decisão de recebimento ou rejeição em relação a ambas. Dentre outros aspectos </w:t>
      </w:r>
      <w:r w:rsidRPr="006D3414">
        <w:lastRenderedPageBreak/>
        <w:t>que se afigurem relevantes, considere que, embora fundadas nos mesmos fatos, as duas demandas têm fundamentos jurídicos e objetos diversos e, no segundo caso, parcialmente antagônicos; o que permite antever – e ter como premissa da questão – que o integral acolhimento de ambas é inviável. ATENÇÃO: a resposta não deve levar em conta a opção pela demanda que, ao ver do(a) aluno(a) conteria a solução mais justa. O objetivo é saber como seria possível a coordenação das duas medidas; ou, não sendo, qual seria a solução.</w:t>
      </w:r>
      <w:r>
        <w:t xml:space="preserve"> </w:t>
      </w:r>
      <w:r w:rsidRPr="00185ABB">
        <w:rPr>
          <w:b/>
          <w:bCs/>
        </w:rPr>
        <w:t>(6,0)</w:t>
      </w:r>
    </w:p>
    <w:p w14:paraId="7941F943" w14:textId="1E45FE76" w:rsidR="00185ABB" w:rsidRPr="00185ABB" w:rsidRDefault="00217EA7" w:rsidP="00217EA7">
      <w:pPr>
        <w:shd w:val="clear" w:color="auto" w:fill="FFFFFF"/>
        <w:spacing w:after="240" w:line="240" w:lineRule="auto"/>
      </w:pPr>
      <w:r w:rsidRPr="00217EA7">
        <w:rPr>
          <w:rFonts w:ascii="Calibri" w:eastAsia="Times New Roman" w:hAnsi="Calibri" w:cs="Calibri"/>
          <w:u w:val="single"/>
        </w:rPr>
        <w:t>Resposta</w:t>
      </w:r>
      <w:r w:rsidRPr="00217EA7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 xml:space="preserve"> </w:t>
      </w:r>
    </w:p>
    <w:sectPr w:rsidR="00185ABB" w:rsidRPr="00185ABB" w:rsidSect="00564F3F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36AE0" w14:textId="77777777" w:rsidR="00335CD1" w:rsidRDefault="00335CD1" w:rsidP="00185ABB">
      <w:pPr>
        <w:spacing w:after="0" w:line="240" w:lineRule="auto"/>
      </w:pPr>
      <w:r>
        <w:separator/>
      </w:r>
    </w:p>
  </w:endnote>
  <w:endnote w:type="continuationSeparator" w:id="0">
    <w:p w14:paraId="60792BB3" w14:textId="77777777" w:rsidR="00335CD1" w:rsidRDefault="00335CD1" w:rsidP="0018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311B" w14:textId="77777777" w:rsidR="00335CD1" w:rsidRDefault="00335CD1" w:rsidP="00185ABB">
      <w:pPr>
        <w:spacing w:after="0" w:line="240" w:lineRule="auto"/>
      </w:pPr>
      <w:r>
        <w:separator/>
      </w:r>
    </w:p>
  </w:footnote>
  <w:footnote w:type="continuationSeparator" w:id="0">
    <w:p w14:paraId="0E72D46D" w14:textId="77777777" w:rsidR="00335CD1" w:rsidRDefault="00335CD1" w:rsidP="0018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1279" w14:textId="3CE5C078" w:rsidR="00753EF4" w:rsidRDefault="00753EF4">
    <w:pPr>
      <w:pStyle w:val="Cabealho"/>
    </w:pPr>
    <w:r>
      <w:t>NOME:</w:t>
    </w:r>
  </w:p>
  <w:p w14:paraId="5515A11F" w14:textId="60942156" w:rsidR="00753EF4" w:rsidRDefault="00753EF4">
    <w:pPr>
      <w:pStyle w:val="Cabealho"/>
    </w:pPr>
    <w:r>
      <w:t>Nº USP:</w:t>
    </w:r>
  </w:p>
  <w:p w14:paraId="2DCFC4F2" w14:textId="7972E09D" w:rsidR="00512720" w:rsidRDefault="00512720">
    <w:pPr>
      <w:pStyle w:val="Cabealho"/>
    </w:pPr>
    <w:r>
      <w:t xml:space="preserve">E-MAIL: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BB"/>
    <w:rsid w:val="00054080"/>
    <w:rsid w:val="00061D97"/>
    <w:rsid w:val="00127EF6"/>
    <w:rsid w:val="00185ABB"/>
    <w:rsid w:val="00217EA7"/>
    <w:rsid w:val="00335CD1"/>
    <w:rsid w:val="00512720"/>
    <w:rsid w:val="00545E5E"/>
    <w:rsid w:val="00564F3F"/>
    <w:rsid w:val="006B6E6D"/>
    <w:rsid w:val="006D3414"/>
    <w:rsid w:val="00753EF4"/>
    <w:rsid w:val="007858B5"/>
    <w:rsid w:val="00805058"/>
    <w:rsid w:val="008424DE"/>
    <w:rsid w:val="00962EDD"/>
    <w:rsid w:val="00A7372E"/>
    <w:rsid w:val="00A77E4D"/>
    <w:rsid w:val="00A81B3E"/>
    <w:rsid w:val="00B22949"/>
    <w:rsid w:val="00B63A8C"/>
    <w:rsid w:val="00C44A91"/>
    <w:rsid w:val="00E3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10659"/>
  <w15:chartTrackingRefBased/>
  <w15:docId w15:val="{94F68990-443F-40DE-AB4D-DAC7E40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ABB"/>
  </w:style>
  <w:style w:type="paragraph" w:styleId="Rodap">
    <w:name w:val="footer"/>
    <w:basedOn w:val="Normal"/>
    <w:link w:val="RodapChar"/>
    <w:uiPriority w:val="99"/>
    <w:unhideWhenUsed/>
    <w:rsid w:val="00185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5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9873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S.</dc:creator>
  <cp:keywords/>
  <dc:description/>
  <cp:lastModifiedBy>Matheus S.</cp:lastModifiedBy>
  <cp:revision>20</cp:revision>
  <dcterms:created xsi:type="dcterms:W3CDTF">2020-11-25T18:40:00Z</dcterms:created>
  <dcterms:modified xsi:type="dcterms:W3CDTF">2020-11-25T18:58:00Z</dcterms:modified>
</cp:coreProperties>
</file>