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3DE" w:rsidRPr="00262605" w:rsidRDefault="002A73DE" w:rsidP="002A73DE">
      <w:pPr>
        <w:spacing w:after="0" w:line="240" w:lineRule="auto"/>
        <w:jc w:val="both"/>
        <w:rPr>
          <w:rFonts w:ascii="Bookman Old Style" w:hAnsi="Bookman Old Style"/>
        </w:rPr>
      </w:pPr>
      <w:smartTag w:uri="schemas-houaiss/mini" w:element="verbetes">
        <w:r w:rsidRPr="0001355A">
          <w:rPr>
            <w:rFonts w:ascii="Bookman Old Style" w:hAnsi="Bookman Old Style"/>
            <w:b/>
          </w:rPr>
          <w:t>Disciplina</w:t>
        </w:r>
      </w:smartTag>
      <w:r w:rsidRPr="00262605">
        <w:rPr>
          <w:rFonts w:ascii="Bookman Old Style" w:hAnsi="Bookman Old Style"/>
        </w:rPr>
        <w:t xml:space="preserve">: </w:t>
      </w:r>
      <w:smartTag w:uri="schemas-houaiss/mini" w:element="verbetes">
        <w:r w:rsidRPr="00262605">
          <w:rPr>
            <w:rFonts w:ascii="Bookman Old Style" w:hAnsi="Bookman Old Style"/>
          </w:rPr>
          <w:t>Filologia</w:t>
        </w:r>
      </w:smartTag>
      <w:r w:rsidRPr="00262605">
        <w:rPr>
          <w:rFonts w:ascii="Bookman Old Style" w:hAnsi="Bookman Old Style"/>
        </w:rPr>
        <w:t xml:space="preserve"> Portuguesa </w:t>
      </w:r>
      <w:r>
        <w:rPr>
          <w:rFonts w:ascii="Bookman Old Style" w:hAnsi="Bookman Old Style"/>
        </w:rPr>
        <w:t>—</w:t>
      </w:r>
      <w:r w:rsidRPr="00262605">
        <w:rPr>
          <w:rFonts w:ascii="Bookman Old Style" w:hAnsi="Bookman Old Style"/>
        </w:rPr>
        <w:t xml:space="preserve"> FLC 0284</w:t>
      </w:r>
      <w:r>
        <w:rPr>
          <w:rFonts w:ascii="Bookman Old Style" w:hAnsi="Bookman Old Style"/>
        </w:rPr>
        <w:t xml:space="preserve"> (Crítica Textual)</w:t>
      </w:r>
      <w:r w:rsidRPr="00262605">
        <w:rPr>
          <w:rFonts w:ascii="Bookman Old Style" w:hAnsi="Bookman Old Style"/>
        </w:rPr>
        <w:t>;</w:t>
      </w:r>
    </w:p>
    <w:p w:rsidR="002A73DE" w:rsidRPr="00262605" w:rsidRDefault="002A73DE" w:rsidP="002A73DE">
      <w:pPr>
        <w:spacing w:after="0" w:line="240" w:lineRule="auto"/>
        <w:jc w:val="both"/>
        <w:rPr>
          <w:rFonts w:ascii="Bookman Old Style" w:hAnsi="Bookman Old Style"/>
        </w:rPr>
      </w:pPr>
      <w:r w:rsidRPr="0001355A">
        <w:rPr>
          <w:rFonts w:ascii="Bookman Old Style" w:hAnsi="Bookman Old Style"/>
          <w:b/>
        </w:rPr>
        <w:t xml:space="preserve">Docente </w:t>
      </w:r>
      <w:smartTag w:uri="schemas-houaiss/mini" w:element="verbetes">
        <w:r w:rsidRPr="0001355A">
          <w:rPr>
            <w:rFonts w:ascii="Bookman Old Style" w:hAnsi="Bookman Old Style"/>
            <w:b/>
          </w:rPr>
          <w:t>responsável</w:t>
        </w:r>
      </w:smartTag>
      <w:r w:rsidRPr="00262605">
        <w:rPr>
          <w:rFonts w:ascii="Bookman Old Style" w:hAnsi="Bookman Old Style"/>
        </w:rPr>
        <w:t>: Marcelo Módolo;</w:t>
      </w:r>
    </w:p>
    <w:p w:rsidR="002A73DE" w:rsidRPr="002A73DE" w:rsidRDefault="002A73DE" w:rsidP="002A73DE">
      <w:pPr>
        <w:spacing w:after="0" w:line="240" w:lineRule="auto"/>
        <w:jc w:val="both"/>
        <w:rPr>
          <w:sz w:val="24"/>
          <w:szCs w:val="24"/>
        </w:rPr>
      </w:pPr>
      <w:smartTag w:uri="schemas-houaiss/mini" w:element="verbetes">
        <w:r w:rsidRPr="0001355A">
          <w:rPr>
            <w:rFonts w:ascii="Bookman Old Style" w:hAnsi="Bookman Old Style"/>
            <w:b/>
          </w:rPr>
          <w:t>Turmas</w:t>
        </w:r>
      </w:smartTag>
      <w:r w:rsidRPr="00262605">
        <w:rPr>
          <w:rFonts w:ascii="Bookman Old Style" w:hAnsi="Bookman Old Style"/>
        </w:rPr>
        <w:t xml:space="preserve">: </w:t>
      </w:r>
      <w:r w:rsidRPr="00265A18">
        <w:rPr>
          <w:rFonts w:ascii="Book Antiqua" w:hAnsi="Book Antiqua" w:cs="Helvetica"/>
          <w:color w:val="141823"/>
          <w:shd w:val="clear" w:color="auto" w:fill="FFFFFF"/>
        </w:rPr>
        <w:t>20</w:t>
      </w:r>
      <w:r>
        <w:rPr>
          <w:rFonts w:ascii="Book Antiqua" w:hAnsi="Book Antiqua" w:cs="Helvetica"/>
          <w:color w:val="141823"/>
          <w:shd w:val="clear" w:color="auto" w:fill="FFFFFF"/>
        </w:rPr>
        <w:t>20212</w:t>
      </w:r>
      <w:r w:rsidRPr="00265A18">
        <w:rPr>
          <w:rFonts w:ascii="Book Antiqua" w:hAnsi="Book Antiqua" w:cs="Helvetica"/>
          <w:color w:val="141823"/>
          <w:shd w:val="clear" w:color="auto" w:fill="FFFFFF"/>
        </w:rPr>
        <w:t xml:space="preserve"> e 201</w:t>
      </w:r>
      <w:r>
        <w:rPr>
          <w:rFonts w:ascii="Book Antiqua" w:hAnsi="Book Antiqua" w:cs="Helvetica"/>
          <w:color w:val="141823"/>
          <w:shd w:val="clear" w:color="auto" w:fill="FFFFFF"/>
        </w:rPr>
        <w:t>0214</w:t>
      </w:r>
      <w:r w:rsidRPr="00265A18">
        <w:rPr>
          <w:rFonts w:ascii="Book Antiqua" w:hAnsi="Book Antiqua"/>
        </w:rPr>
        <w:t xml:space="preserve"> (</w:t>
      </w:r>
      <w:r>
        <w:rPr>
          <w:rFonts w:ascii="Book Antiqua" w:hAnsi="Book Antiqua"/>
        </w:rPr>
        <w:t>segundas-feiras, 8h às 10h e 10h às 12h</w:t>
      </w:r>
      <w:r w:rsidRPr="002A73DE">
        <w:rPr>
          <w:rFonts w:ascii="Book Antiqua" w:hAnsi="Book Antiqua"/>
          <w:sz w:val="24"/>
          <w:szCs w:val="24"/>
        </w:rPr>
        <w:t xml:space="preserve">), </w:t>
      </w:r>
      <w:r w:rsidRPr="002A73DE">
        <w:rPr>
          <w:rStyle w:val="txtarial8ptgray1"/>
          <w:rFonts w:ascii="Book Antiqua" w:hAnsi="Book Antiqua"/>
          <w:sz w:val="24"/>
          <w:szCs w:val="24"/>
        </w:rPr>
        <w:t>2º. semestre de 2020</w:t>
      </w:r>
      <w:r>
        <w:rPr>
          <w:rStyle w:val="txtarial8ptgray1"/>
          <w:rFonts w:ascii="Book Antiqua" w:hAnsi="Book Antiqua"/>
          <w:sz w:val="24"/>
          <w:szCs w:val="24"/>
        </w:rPr>
        <w:t>.</w:t>
      </w:r>
    </w:p>
    <w:p w:rsidR="002A73DE" w:rsidRPr="002A73DE" w:rsidRDefault="002A73DE" w:rsidP="009414BF">
      <w:pPr>
        <w:spacing w:after="0" w:line="240" w:lineRule="auto"/>
        <w:jc w:val="both"/>
        <w:rPr>
          <w:sz w:val="24"/>
          <w:szCs w:val="24"/>
        </w:rPr>
      </w:pPr>
    </w:p>
    <w:p w:rsidR="000E0B2A" w:rsidRPr="002A73DE" w:rsidRDefault="002A73DE" w:rsidP="009414BF">
      <w:pPr>
        <w:spacing w:after="0" w:line="240" w:lineRule="auto"/>
        <w:jc w:val="both"/>
        <w:rPr>
          <w:sz w:val="28"/>
          <w:szCs w:val="28"/>
        </w:rPr>
      </w:pPr>
      <w:r w:rsidRPr="002A73DE">
        <w:rPr>
          <w:sz w:val="28"/>
          <w:szCs w:val="28"/>
        </w:rPr>
        <w:t>Dissertação avaliativa</w:t>
      </w:r>
    </w:p>
    <w:p w:rsidR="000E0B2A" w:rsidRPr="002A73DE" w:rsidRDefault="000E0B2A" w:rsidP="009414BF">
      <w:pPr>
        <w:spacing w:after="0" w:line="240" w:lineRule="auto"/>
        <w:jc w:val="both"/>
        <w:rPr>
          <w:sz w:val="28"/>
          <w:szCs w:val="28"/>
        </w:rPr>
      </w:pPr>
    </w:p>
    <w:p w:rsidR="009414BF" w:rsidRPr="000E0B2A" w:rsidRDefault="000E0B2A" w:rsidP="009414BF">
      <w:pPr>
        <w:spacing w:after="0" w:line="240" w:lineRule="auto"/>
        <w:jc w:val="both"/>
      </w:pPr>
      <w:r w:rsidRPr="000E0B2A">
        <w:t>Escolha apenas uma das q</w:t>
      </w:r>
      <w:r>
        <w:t>uestões abaixo e responda-a em — no máximo — quatro páginas:</w:t>
      </w:r>
    </w:p>
    <w:p w:rsidR="00EC6CF0" w:rsidRDefault="00EC6CF0" w:rsidP="009414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14BF" w:rsidRPr="00731A7B" w:rsidRDefault="00EC6CF0" w:rsidP="009414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O</w:t>
      </w:r>
      <w:r w:rsidR="009414BF" w:rsidRPr="00731A7B">
        <w:rPr>
          <w:rFonts w:ascii="Times New Roman" w:hAnsi="Times New Roman" w:cs="Times New Roman"/>
          <w:sz w:val="24"/>
          <w:szCs w:val="24"/>
        </w:rPr>
        <w:t>bserve o fragmento abaixo e a letra da música "Atirei o pau no gato" em duas versões:</w:t>
      </w:r>
    </w:p>
    <w:p w:rsidR="000E0B2A" w:rsidRPr="00F869FA" w:rsidRDefault="000E0B2A" w:rsidP="00731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14BF" w:rsidRPr="00731A7B" w:rsidRDefault="009414BF" w:rsidP="00731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31A7B">
        <w:rPr>
          <w:rFonts w:ascii="Times New Roman" w:hAnsi="Times New Roman" w:cs="Times New Roman"/>
          <w:sz w:val="24"/>
          <w:szCs w:val="24"/>
          <w:lang w:val="en-US"/>
        </w:rPr>
        <w:t>a)</w:t>
      </w:r>
      <w:r w:rsidR="00731A7B" w:rsidRPr="00731A7B">
        <w:rPr>
          <w:rFonts w:ascii="Times New Roman" w:hAnsi="Times New Roman" w:cs="Times New Roman"/>
          <w:sz w:val="24"/>
          <w:szCs w:val="24"/>
          <w:lang w:val="en-US"/>
        </w:rPr>
        <w:t xml:space="preserve"> The argument that I want to sustain and emphasize, then, is that philological work unavoidably produces an editor role and that this editor role presupposes and partly shapes the production of a hypothetical author role; in other words, the editor role always encapsulates an author role. At the same time, it goes without saying that the editor role also contains multiple reader roles. </w:t>
      </w:r>
    </w:p>
    <w:p w:rsidR="00731A7B" w:rsidRPr="00731A7B" w:rsidRDefault="00731A7B" w:rsidP="00731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31A7B">
        <w:rPr>
          <w:rFonts w:ascii="Times New Roman" w:hAnsi="Times New Roman" w:cs="Times New Roman"/>
          <w:sz w:val="24"/>
          <w:szCs w:val="24"/>
          <w:lang w:val="en-US"/>
        </w:rPr>
        <w:t xml:space="preserve">Fonte: GUMBRECHT, Hans U. </w:t>
      </w:r>
      <w:r w:rsidRPr="00731A7B">
        <w:rPr>
          <w:rFonts w:ascii="Times New Roman" w:hAnsi="Times New Roman" w:cs="Times New Roman"/>
          <w:i/>
          <w:sz w:val="24"/>
          <w:szCs w:val="24"/>
          <w:lang w:val="en-US"/>
        </w:rPr>
        <w:t>The powers of philology. Dynamics of textual scholarship</w:t>
      </w:r>
      <w:r w:rsidRPr="00731A7B">
        <w:rPr>
          <w:rFonts w:ascii="Times New Roman" w:hAnsi="Times New Roman" w:cs="Times New Roman"/>
          <w:sz w:val="24"/>
          <w:szCs w:val="24"/>
          <w:lang w:val="en-US"/>
        </w:rPr>
        <w:t>. Champaign: University of Illinois Press, 2003, p. 31.</w:t>
      </w:r>
    </w:p>
    <w:p w:rsidR="00731A7B" w:rsidRPr="00731A7B" w:rsidRDefault="00731A7B" w:rsidP="00731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31A7B" w:rsidRPr="00731A7B" w:rsidRDefault="00731A7B" w:rsidP="00731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31A7B">
        <w:rPr>
          <w:rFonts w:ascii="Times New Roman" w:hAnsi="Times New Roman" w:cs="Times New Roman"/>
          <w:sz w:val="24"/>
          <w:szCs w:val="24"/>
          <w:lang w:val="en-US"/>
        </w:rPr>
        <w:t>b)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9414BF" w:rsidRPr="00731A7B" w:rsidTr="000E6966">
        <w:tc>
          <w:tcPr>
            <w:tcW w:w="4247" w:type="dxa"/>
          </w:tcPr>
          <w:p w:rsidR="009414BF" w:rsidRPr="00731A7B" w:rsidRDefault="009414BF" w:rsidP="000E69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A7B">
              <w:rPr>
                <w:rFonts w:ascii="Times New Roman" w:hAnsi="Times New Roman" w:cs="Times New Roman"/>
                <w:b/>
                <w:sz w:val="24"/>
                <w:szCs w:val="24"/>
              </w:rPr>
              <w:t>Cantiga infantil antiga</w:t>
            </w:r>
          </w:p>
          <w:p w:rsidR="009414BF" w:rsidRPr="00731A7B" w:rsidRDefault="009414BF" w:rsidP="000E69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14BF" w:rsidRPr="00731A7B" w:rsidRDefault="009414BF" w:rsidP="000E6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A7B">
              <w:rPr>
                <w:rFonts w:ascii="Times New Roman" w:hAnsi="Times New Roman" w:cs="Times New Roman"/>
                <w:sz w:val="24"/>
                <w:szCs w:val="24"/>
              </w:rPr>
              <w:t>Atirei o pau no gato-to</w:t>
            </w:r>
          </w:p>
          <w:p w:rsidR="009414BF" w:rsidRPr="00731A7B" w:rsidRDefault="009414BF" w:rsidP="000E6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A7B">
              <w:rPr>
                <w:rFonts w:ascii="Times New Roman" w:hAnsi="Times New Roman" w:cs="Times New Roman"/>
                <w:sz w:val="24"/>
                <w:szCs w:val="24"/>
              </w:rPr>
              <w:t>Mas o gato-to</w:t>
            </w:r>
          </w:p>
          <w:p w:rsidR="009414BF" w:rsidRPr="00731A7B" w:rsidRDefault="009414BF" w:rsidP="000E6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A7B">
              <w:rPr>
                <w:rFonts w:ascii="Times New Roman" w:hAnsi="Times New Roman" w:cs="Times New Roman"/>
                <w:sz w:val="24"/>
                <w:szCs w:val="24"/>
              </w:rPr>
              <w:t>Não morreu-reu-reu</w:t>
            </w:r>
          </w:p>
          <w:p w:rsidR="009414BF" w:rsidRPr="00731A7B" w:rsidRDefault="009414BF" w:rsidP="000E6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A7B">
              <w:rPr>
                <w:rFonts w:ascii="Times New Roman" w:hAnsi="Times New Roman" w:cs="Times New Roman"/>
                <w:sz w:val="24"/>
                <w:szCs w:val="24"/>
              </w:rPr>
              <w:t>Dona Xica-ca</w:t>
            </w:r>
          </w:p>
          <w:p w:rsidR="009414BF" w:rsidRPr="00731A7B" w:rsidRDefault="009414BF" w:rsidP="000E6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A7B">
              <w:rPr>
                <w:rFonts w:ascii="Times New Roman" w:hAnsi="Times New Roman" w:cs="Times New Roman"/>
                <w:sz w:val="24"/>
                <w:szCs w:val="24"/>
              </w:rPr>
              <w:t>Admirou-se-se</w:t>
            </w:r>
          </w:p>
          <w:p w:rsidR="009414BF" w:rsidRPr="00731A7B" w:rsidRDefault="009414BF" w:rsidP="000E6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A7B">
              <w:rPr>
                <w:rFonts w:ascii="Times New Roman" w:hAnsi="Times New Roman" w:cs="Times New Roman"/>
                <w:sz w:val="24"/>
                <w:szCs w:val="24"/>
              </w:rPr>
              <w:t>Do berro, do berro</w:t>
            </w:r>
          </w:p>
          <w:p w:rsidR="009414BF" w:rsidRPr="00731A7B" w:rsidRDefault="009414BF" w:rsidP="000E6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A7B">
              <w:rPr>
                <w:rFonts w:ascii="Times New Roman" w:hAnsi="Times New Roman" w:cs="Times New Roman"/>
                <w:sz w:val="24"/>
                <w:szCs w:val="24"/>
              </w:rPr>
              <w:t>Que o gato deu</w:t>
            </w:r>
          </w:p>
          <w:p w:rsidR="009414BF" w:rsidRPr="00731A7B" w:rsidRDefault="009414BF" w:rsidP="000E6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A7B">
              <w:rPr>
                <w:rFonts w:ascii="Times New Roman" w:hAnsi="Times New Roman" w:cs="Times New Roman"/>
                <w:sz w:val="24"/>
                <w:szCs w:val="24"/>
              </w:rPr>
              <w:t>Miaaaaau!</w:t>
            </w:r>
          </w:p>
          <w:p w:rsidR="009414BF" w:rsidRPr="00731A7B" w:rsidRDefault="009414BF" w:rsidP="000E6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9414BF" w:rsidRPr="00731A7B" w:rsidRDefault="009414BF" w:rsidP="000E69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A7B">
              <w:rPr>
                <w:rFonts w:ascii="Times New Roman" w:hAnsi="Times New Roman" w:cs="Times New Roman"/>
                <w:b/>
                <w:sz w:val="24"/>
                <w:szCs w:val="24"/>
              </w:rPr>
              <w:t>Cantiga infantil adaptada, ou politicamente correta</w:t>
            </w:r>
          </w:p>
          <w:p w:rsidR="009414BF" w:rsidRPr="00731A7B" w:rsidRDefault="009414BF" w:rsidP="000E6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A7B">
              <w:rPr>
                <w:rFonts w:ascii="Times New Roman" w:hAnsi="Times New Roman" w:cs="Times New Roman"/>
                <w:sz w:val="24"/>
                <w:szCs w:val="24"/>
              </w:rPr>
              <w:t>Não atire o pau no gato-to</w:t>
            </w:r>
          </w:p>
          <w:p w:rsidR="009414BF" w:rsidRPr="00731A7B" w:rsidRDefault="009414BF" w:rsidP="000E6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A7B">
              <w:rPr>
                <w:rFonts w:ascii="Times New Roman" w:hAnsi="Times New Roman" w:cs="Times New Roman"/>
                <w:sz w:val="24"/>
                <w:szCs w:val="24"/>
              </w:rPr>
              <w:t>Porque isso-so</w:t>
            </w:r>
          </w:p>
          <w:p w:rsidR="009414BF" w:rsidRPr="00731A7B" w:rsidRDefault="009414BF" w:rsidP="000E6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A7B">
              <w:rPr>
                <w:rFonts w:ascii="Times New Roman" w:hAnsi="Times New Roman" w:cs="Times New Roman"/>
                <w:sz w:val="24"/>
                <w:szCs w:val="24"/>
              </w:rPr>
              <w:t>Nao se faz-faz-faz</w:t>
            </w:r>
          </w:p>
          <w:p w:rsidR="009414BF" w:rsidRPr="00731A7B" w:rsidRDefault="009414BF" w:rsidP="000E6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A7B">
              <w:rPr>
                <w:rFonts w:ascii="Times New Roman" w:hAnsi="Times New Roman" w:cs="Times New Roman"/>
                <w:sz w:val="24"/>
                <w:szCs w:val="24"/>
              </w:rPr>
              <w:t>O gatinho-nho</w:t>
            </w:r>
          </w:p>
          <w:p w:rsidR="009414BF" w:rsidRPr="00731A7B" w:rsidRDefault="009414BF" w:rsidP="000E6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A7B">
              <w:rPr>
                <w:rFonts w:ascii="Times New Roman" w:hAnsi="Times New Roman" w:cs="Times New Roman"/>
                <w:sz w:val="24"/>
                <w:szCs w:val="24"/>
              </w:rPr>
              <w:t>É nosso amigo-go</w:t>
            </w:r>
          </w:p>
          <w:p w:rsidR="009414BF" w:rsidRPr="00731A7B" w:rsidRDefault="009414BF" w:rsidP="000E6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A7B">
              <w:rPr>
                <w:rFonts w:ascii="Times New Roman" w:hAnsi="Times New Roman" w:cs="Times New Roman"/>
                <w:sz w:val="24"/>
                <w:szCs w:val="24"/>
              </w:rPr>
              <w:t>Não devemos maltratar os animais</w:t>
            </w:r>
          </w:p>
          <w:p w:rsidR="009414BF" w:rsidRPr="00731A7B" w:rsidRDefault="009414BF" w:rsidP="000E6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A7B">
              <w:rPr>
                <w:rFonts w:ascii="Times New Roman" w:hAnsi="Times New Roman" w:cs="Times New Roman"/>
                <w:sz w:val="24"/>
                <w:szCs w:val="24"/>
              </w:rPr>
              <w:t>Mi-aaaaau!</w:t>
            </w:r>
          </w:p>
          <w:p w:rsidR="009414BF" w:rsidRPr="00731A7B" w:rsidRDefault="009414BF" w:rsidP="000E6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14BF" w:rsidRPr="00731A7B" w:rsidRDefault="009414BF" w:rsidP="009414BF">
      <w:pPr>
        <w:jc w:val="both"/>
        <w:rPr>
          <w:rFonts w:ascii="Times New Roman" w:hAnsi="Times New Roman" w:cs="Times New Roman"/>
          <w:sz w:val="24"/>
          <w:szCs w:val="24"/>
        </w:rPr>
      </w:pPr>
      <w:r w:rsidRPr="00731A7B">
        <w:rPr>
          <w:rFonts w:ascii="Times New Roman" w:hAnsi="Times New Roman" w:cs="Times New Roman"/>
          <w:sz w:val="24"/>
          <w:szCs w:val="24"/>
        </w:rPr>
        <w:t xml:space="preserve">Fonte: http://mixdereferencias.blogspot.com.br/2014/07/atirei-o-pau-no-gato-em-duas-versoes.html , consultado </w:t>
      </w:r>
      <w:r w:rsidR="00EC6CF0">
        <w:rPr>
          <w:rFonts w:ascii="Times New Roman" w:hAnsi="Times New Roman" w:cs="Times New Roman"/>
          <w:sz w:val="24"/>
          <w:szCs w:val="24"/>
        </w:rPr>
        <w:t>13</w:t>
      </w:r>
      <w:r w:rsidR="00731A7B" w:rsidRPr="00731A7B">
        <w:rPr>
          <w:rFonts w:ascii="Times New Roman" w:hAnsi="Times New Roman" w:cs="Times New Roman"/>
          <w:sz w:val="24"/>
          <w:szCs w:val="24"/>
        </w:rPr>
        <w:t>/</w:t>
      </w:r>
      <w:r w:rsidR="00EC6CF0">
        <w:rPr>
          <w:rFonts w:ascii="Times New Roman" w:hAnsi="Times New Roman" w:cs="Times New Roman"/>
          <w:sz w:val="24"/>
          <w:szCs w:val="24"/>
        </w:rPr>
        <w:t>11</w:t>
      </w:r>
      <w:r w:rsidRPr="00731A7B">
        <w:rPr>
          <w:rFonts w:ascii="Times New Roman" w:hAnsi="Times New Roman" w:cs="Times New Roman"/>
          <w:sz w:val="24"/>
          <w:szCs w:val="24"/>
        </w:rPr>
        <w:t>/20</w:t>
      </w:r>
      <w:r w:rsidR="00EC6CF0">
        <w:rPr>
          <w:rFonts w:ascii="Times New Roman" w:hAnsi="Times New Roman" w:cs="Times New Roman"/>
          <w:sz w:val="24"/>
          <w:szCs w:val="24"/>
        </w:rPr>
        <w:t>20</w:t>
      </w:r>
      <w:r w:rsidRPr="00731A7B">
        <w:rPr>
          <w:rFonts w:ascii="Times New Roman" w:hAnsi="Times New Roman" w:cs="Times New Roman"/>
          <w:sz w:val="24"/>
          <w:szCs w:val="24"/>
        </w:rPr>
        <w:t xml:space="preserve">, às </w:t>
      </w:r>
      <w:r w:rsidR="00731A7B" w:rsidRPr="00731A7B">
        <w:rPr>
          <w:rFonts w:ascii="Times New Roman" w:hAnsi="Times New Roman" w:cs="Times New Roman"/>
          <w:sz w:val="24"/>
          <w:szCs w:val="24"/>
        </w:rPr>
        <w:t>17h 59min.</w:t>
      </w:r>
    </w:p>
    <w:p w:rsidR="009414BF" w:rsidRPr="00731A7B" w:rsidRDefault="009414BF" w:rsidP="009414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14BF" w:rsidRDefault="009414BF" w:rsidP="00731A7B">
      <w:pPr>
        <w:jc w:val="both"/>
        <w:rPr>
          <w:rFonts w:ascii="Times New Roman" w:hAnsi="Times New Roman" w:cs="Times New Roman"/>
          <w:sz w:val="24"/>
          <w:szCs w:val="24"/>
        </w:rPr>
      </w:pPr>
      <w:r w:rsidRPr="00731A7B">
        <w:rPr>
          <w:rFonts w:ascii="Times New Roman" w:hAnsi="Times New Roman" w:cs="Times New Roman"/>
          <w:sz w:val="24"/>
          <w:szCs w:val="24"/>
        </w:rPr>
        <w:t>Levando-se em conta</w:t>
      </w:r>
      <w:r w:rsidR="00731A7B" w:rsidRPr="00731A7B">
        <w:rPr>
          <w:rFonts w:ascii="Times New Roman" w:hAnsi="Times New Roman" w:cs="Times New Roman"/>
          <w:sz w:val="24"/>
          <w:szCs w:val="24"/>
        </w:rPr>
        <w:t xml:space="preserve"> o fragmento de Gumbrecht e</w:t>
      </w:r>
      <w:r w:rsidRPr="00731A7B">
        <w:rPr>
          <w:rFonts w:ascii="Times New Roman" w:hAnsi="Times New Roman" w:cs="Times New Roman"/>
          <w:sz w:val="24"/>
          <w:szCs w:val="24"/>
        </w:rPr>
        <w:t xml:space="preserve"> a noção de movência textual (isto é, o texto sempre sofre mudanças considerando sua performance e recepção nos usos da linguagem</w:t>
      </w:r>
      <w:r w:rsidR="00EC6CF0">
        <w:rPr>
          <w:rFonts w:ascii="Times New Roman" w:hAnsi="Times New Roman" w:cs="Times New Roman"/>
          <w:sz w:val="24"/>
          <w:szCs w:val="24"/>
        </w:rPr>
        <w:t>, vide Paul Zumthor</w:t>
      </w:r>
      <w:r w:rsidRPr="00731A7B">
        <w:rPr>
          <w:rFonts w:ascii="Times New Roman" w:hAnsi="Times New Roman" w:cs="Times New Roman"/>
          <w:sz w:val="24"/>
          <w:szCs w:val="24"/>
        </w:rPr>
        <w:t>), qual dessa</w:t>
      </w:r>
      <w:r w:rsidR="008A73B1">
        <w:rPr>
          <w:rFonts w:ascii="Times New Roman" w:hAnsi="Times New Roman" w:cs="Times New Roman"/>
          <w:sz w:val="24"/>
          <w:szCs w:val="24"/>
        </w:rPr>
        <w:t>s</w:t>
      </w:r>
      <w:r w:rsidRPr="00731A7B">
        <w:rPr>
          <w:rFonts w:ascii="Times New Roman" w:hAnsi="Times New Roman" w:cs="Times New Roman"/>
          <w:sz w:val="24"/>
          <w:szCs w:val="24"/>
        </w:rPr>
        <w:t xml:space="preserve"> vers</w:t>
      </w:r>
      <w:r w:rsidR="008A73B1">
        <w:rPr>
          <w:rFonts w:ascii="Times New Roman" w:hAnsi="Times New Roman" w:cs="Times New Roman"/>
          <w:sz w:val="24"/>
          <w:szCs w:val="24"/>
        </w:rPr>
        <w:t>ões</w:t>
      </w:r>
      <w:r w:rsidRPr="00731A7B">
        <w:rPr>
          <w:rFonts w:ascii="Times New Roman" w:hAnsi="Times New Roman" w:cs="Times New Roman"/>
          <w:sz w:val="24"/>
          <w:szCs w:val="24"/>
        </w:rPr>
        <w:t xml:space="preserve"> seria registrada como sendo a variante adequada da cantiga infantil? A primeira, a segunda ou ambas? </w:t>
      </w:r>
      <w:r w:rsidR="00F869FA">
        <w:rPr>
          <w:rFonts w:ascii="Times New Roman" w:hAnsi="Times New Roman" w:cs="Times New Roman"/>
          <w:sz w:val="24"/>
          <w:szCs w:val="24"/>
        </w:rPr>
        <w:t>Por quê, explique.</w:t>
      </w:r>
    </w:p>
    <w:p w:rsidR="00EC6CF0" w:rsidRDefault="00EC6CF0" w:rsidP="00731A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6CF0" w:rsidRPr="00EC6CF0" w:rsidRDefault="00EC6CF0" w:rsidP="00EC6CF0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  <w:r w:rsidRPr="00EC6CF0">
        <w:rPr>
          <w:rFonts w:ascii="Times New Roman" w:hAnsi="Times New Roman" w:cs="Times New Roman"/>
          <w:sz w:val="24"/>
          <w:szCs w:val="24"/>
        </w:rPr>
        <w:t xml:space="preserve">2) </w:t>
      </w:r>
      <w:r w:rsidRPr="00EC6CF0">
        <w:rPr>
          <w:rFonts w:ascii="Garamond" w:hAnsi="Garamond" w:cs="Times New Roman"/>
          <w:sz w:val="24"/>
          <w:szCs w:val="24"/>
        </w:rPr>
        <w:t xml:space="preserve">Segundo o </w:t>
      </w:r>
      <w:r w:rsidRPr="00EC6CF0">
        <w:rPr>
          <w:rFonts w:ascii="Garamond" w:hAnsi="Garamond" w:cs="Times New Roman"/>
          <w:i/>
          <w:sz w:val="24"/>
          <w:szCs w:val="24"/>
        </w:rPr>
        <w:t>Glossário de crítica textual</w:t>
      </w:r>
      <w:r w:rsidRPr="00EC6CF0">
        <w:rPr>
          <w:rFonts w:ascii="Garamond" w:hAnsi="Garamond" w:cs="Times New Roman"/>
          <w:sz w:val="24"/>
          <w:szCs w:val="24"/>
        </w:rPr>
        <w:t xml:space="preserve">, abreviatura é </w:t>
      </w:r>
      <w:r w:rsidRPr="00EC6CF0">
        <w:rPr>
          <w:rFonts w:ascii="Garamond" w:hAnsi="Garamond" w:cs="Times New Roman"/>
          <w:b/>
          <w:bCs/>
          <w:sz w:val="24"/>
          <w:szCs w:val="24"/>
        </w:rPr>
        <w:t>“</w:t>
      </w:r>
      <w:r w:rsidRPr="00EC6CF0">
        <w:rPr>
          <w:rFonts w:ascii="Garamond" w:hAnsi="Garamond" w:cs="Times New Roman"/>
          <w:bCs/>
          <w:sz w:val="24"/>
          <w:szCs w:val="24"/>
        </w:rPr>
        <w:t>o</w:t>
      </w:r>
      <w:r w:rsidRPr="00EC6CF0">
        <w:rPr>
          <w:rStyle w:val="apple-converted-space"/>
          <w:rFonts w:ascii="Garamond" w:hAnsi="Garamond" w:cs="Times New Roman"/>
          <w:sz w:val="24"/>
          <w:szCs w:val="24"/>
        </w:rPr>
        <w:t> </w:t>
      </w:r>
      <w:r w:rsidRPr="00EC6CF0">
        <w:rPr>
          <w:rFonts w:ascii="Garamond" w:hAnsi="Garamond" w:cs="Times New Roman"/>
          <w:sz w:val="24"/>
          <w:szCs w:val="24"/>
        </w:rPr>
        <w:t>modo de grafar com omissão de certas letras, utilizado pelos copistas medievais para pouparem tempo e espaço.”</w:t>
      </w:r>
      <w:r w:rsidRPr="00155381">
        <w:rPr>
          <w:rStyle w:val="Refdenotaderodap"/>
          <w:rFonts w:ascii="Garamond" w:hAnsi="Garamond" w:cs="Times New Roman"/>
          <w:sz w:val="24"/>
          <w:szCs w:val="24"/>
        </w:rPr>
        <w:footnoteReference w:id="1"/>
      </w:r>
      <w:r w:rsidRPr="00EC6CF0">
        <w:rPr>
          <w:rFonts w:ascii="Garamond" w:hAnsi="Garamond" w:cs="Times New Roman"/>
          <w:sz w:val="24"/>
          <w:szCs w:val="24"/>
        </w:rPr>
        <w:t xml:space="preserve"> </w:t>
      </w:r>
    </w:p>
    <w:p w:rsidR="00EC6CF0" w:rsidRPr="00155381" w:rsidRDefault="00EC6CF0" w:rsidP="00EC6CF0">
      <w:pPr>
        <w:pStyle w:val="PargrafodaLista"/>
        <w:spacing w:line="240" w:lineRule="auto"/>
        <w:ind w:left="0"/>
        <w:jc w:val="both"/>
        <w:rPr>
          <w:rFonts w:ascii="Garamond" w:hAnsi="Garamond" w:cs="Times New Roman"/>
          <w:sz w:val="24"/>
          <w:szCs w:val="24"/>
        </w:rPr>
      </w:pPr>
    </w:p>
    <w:p w:rsidR="00EC6CF0" w:rsidRPr="00155381" w:rsidRDefault="00EC6CF0" w:rsidP="00EC6CF0">
      <w:pPr>
        <w:spacing w:line="240" w:lineRule="auto"/>
        <w:ind w:left="708"/>
        <w:jc w:val="both"/>
        <w:rPr>
          <w:rFonts w:ascii="Garamond" w:hAnsi="Garamond" w:cs="Times New Roman"/>
          <w:sz w:val="24"/>
          <w:szCs w:val="24"/>
        </w:rPr>
      </w:pPr>
      <w:r w:rsidRPr="00155381">
        <w:rPr>
          <w:rFonts w:ascii="Garamond" w:hAnsi="Garamond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313C7BF4" wp14:editId="786C083E">
            <wp:simplePos x="0" y="0"/>
            <wp:positionH relativeFrom="margin">
              <wp:align>center</wp:align>
            </wp:positionH>
            <wp:positionV relativeFrom="paragraph">
              <wp:posOffset>721995</wp:posOffset>
            </wp:positionV>
            <wp:extent cx="4153535" cy="1625600"/>
            <wp:effectExtent l="0" t="0" r="0" b="0"/>
            <wp:wrapTopAndBottom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3535" cy="16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5381">
        <w:rPr>
          <w:rFonts w:ascii="Garamond" w:hAnsi="Garamond" w:cs="Times New Roman"/>
          <w:sz w:val="24"/>
          <w:szCs w:val="24"/>
        </w:rPr>
        <w:t>No trecho abaixo, levando-se em conta essa definição e outras considerações que julgar necessárias, “Pesbitro” seria ou não uma abreviatura de “Presbítero”? Para a resposta, mobilize – no mínimo – dois argumentos (paleográfico e linguístico).</w:t>
      </w:r>
    </w:p>
    <w:p w:rsidR="00EC6CF0" w:rsidRPr="00155381" w:rsidRDefault="00EC6CF0" w:rsidP="00EC6CF0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  <w:r w:rsidRPr="00155381">
        <w:rPr>
          <w:rFonts w:ascii="Garamond" w:hAnsi="Garamond" w:cs="Times New Roman"/>
          <w:sz w:val="24"/>
          <w:szCs w:val="24"/>
        </w:rPr>
        <w:t xml:space="preserve">      </w:t>
      </w:r>
    </w:p>
    <w:p w:rsidR="00EC6CF0" w:rsidRPr="00155381" w:rsidRDefault="00EC6CF0" w:rsidP="00EC6CF0">
      <w:pPr>
        <w:spacing w:line="240" w:lineRule="auto"/>
        <w:ind w:left="708" w:firstLine="708"/>
        <w:jc w:val="both"/>
        <w:rPr>
          <w:rFonts w:ascii="Garamond" w:hAnsi="Garamond" w:cs="Times New Roman"/>
          <w:sz w:val="24"/>
          <w:szCs w:val="24"/>
        </w:rPr>
      </w:pPr>
      <w:r w:rsidRPr="00155381">
        <w:rPr>
          <w:rFonts w:ascii="Garamond" w:hAnsi="Garamond" w:cs="Times New Roman"/>
          <w:sz w:val="24"/>
          <w:szCs w:val="24"/>
        </w:rPr>
        <w:t xml:space="preserve">   Transcrição diplomática proposta:</w:t>
      </w:r>
    </w:p>
    <w:p w:rsidR="00EC6CF0" w:rsidRPr="00155381" w:rsidRDefault="00EC6CF0" w:rsidP="00EC6CF0">
      <w:pPr>
        <w:spacing w:line="240" w:lineRule="auto"/>
        <w:ind w:firstLine="708"/>
        <w:jc w:val="both"/>
        <w:rPr>
          <w:rFonts w:ascii="Garamond" w:hAnsi="Garamond" w:cs="Times New Roman"/>
          <w:sz w:val="24"/>
          <w:szCs w:val="24"/>
        </w:rPr>
      </w:pPr>
      <w:r w:rsidRPr="00155381">
        <w:rPr>
          <w:rFonts w:ascii="Garamond" w:hAnsi="Garamond" w:cs="Times New Roman"/>
          <w:sz w:val="24"/>
          <w:szCs w:val="24"/>
        </w:rPr>
        <w:tab/>
        <w:t xml:space="preserve">    </w:t>
      </w:r>
    </w:p>
    <w:p w:rsidR="00EC6CF0" w:rsidRPr="00155381" w:rsidRDefault="00EC6CF0" w:rsidP="00EC6CF0">
      <w:pPr>
        <w:spacing w:line="240" w:lineRule="auto"/>
        <w:ind w:left="708" w:firstLine="708"/>
        <w:jc w:val="both"/>
        <w:rPr>
          <w:rFonts w:ascii="Garamond" w:hAnsi="Garamond" w:cs="Times New Roman"/>
          <w:sz w:val="24"/>
          <w:szCs w:val="24"/>
        </w:rPr>
      </w:pPr>
      <w:r w:rsidRPr="00155381">
        <w:rPr>
          <w:rFonts w:ascii="Garamond" w:hAnsi="Garamond" w:cs="Times New Roman"/>
          <w:sz w:val="24"/>
          <w:szCs w:val="24"/>
        </w:rPr>
        <w:t xml:space="preserve">   PerejradeAraujo eAZevedo, Sendo tes</w:t>
      </w:r>
    </w:p>
    <w:p w:rsidR="00EC6CF0" w:rsidRPr="00155381" w:rsidRDefault="00EC6CF0" w:rsidP="00EC6CF0">
      <w:pPr>
        <w:spacing w:line="240" w:lineRule="auto"/>
        <w:ind w:left="708" w:firstLine="708"/>
        <w:jc w:val="both"/>
        <w:rPr>
          <w:rFonts w:ascii="Garamond" w:hAnsi="Garamond" w:cs="Times New Roman"/>
          <w:sz w:val="24"/>
          <w:szCs w:val="24"/>
        </w:rPr>
      </w:pPr>
      <w:r w:rsidRPr="00155381">
        <w:rPr>
          <w:rFonts w:ascii="Garamond" w:hAnsi="Garamond" w:cs="Times New Roman"/>
          <w:sz w:val="24"/>
          <w:szCs w:val="24"/>
        </w:rPr>
        <w:t xml:space="preserve">   temunhas, oReverendoDoutor Thomas</w:t>
      </w:r>
    </w:p>
    <w:p w:rsidR="00EC6CF0" w:rsidRPr="00155381" w:rsidRDefault="00EC6CF0" w:rsidP="00EC6CF0">
      <w:pPr>
        <w:spacing w:line="240" w:lineRule="auto"/>
        <w:ind w:left="708" w:firstLine="708"/>
        <w:jc w:val="both"/>
        <w:rPr>
          <w:rFonts w:ascii="Garamond" w:hAnsi="Garamond" w:cs="Times New Roman"/>
          <w:sz w:val="24"/>
          <w:szCs w:val="24"/>
        </w:rPr>
      </w:pPr>
      <w:r w:rsidRPr="00155381">
        <w:rPr>
          <w:rFonts w:ascii="Garamond" w:hAnsi="Garamond" w:cs="Times New Roman"/>
          <w:sz w:val="24"/>
          <w:szCs w:val="24"/>
        </w:rPr>
        <w:t xml:space="preserve">   deSouza Sobral, Pesbitro Sicular, eo</w:t>
      </w:r>
    </w:p>
    <w:p w:rsidR="00EC6CF0" w:rsidRPr="00155381" w:rsidRDefault="00EC6CF0" w:rsidP="00EC6CF0">
      <w:pPr>
        <w:spacing w:line="240" w:lineRule="auto"/>
        <w:ind w:left="708" w:firstLine="708"/>
        <w:jc w:val="both"/>
        <w:rPr>
          <w:rFonts w:ascii="Garamond" w:hAnsi="Garamond" w:cs="Times New Roman"/>
          <w:sz w:val="24"/>
          <w:szCs w:val="24"/>
        </w:rPr>
      </w:pPr>
      <w:r w:rsidRPr="00155381">
        <w:rPr>
          <w:rFonts w:ascii="Garamond" w:hAnsi="Garamond" w:cs="Times New Roman"/>
          <w:sz w:val="24"/>
          <w:szCs w:val="24"/>
        </w:rPr>
        <w:t xml:space="preserve">   Tenente Coronel EGovernadordoCastelo</w:t>
      </w:r>
    </w:p>
    <w:p w:rsidR="00EC6CF0" w:rsidRDefault="00EC6CF0" w:rsidP="00EC6CF0">
      <w:pPr>
        <w:spacing w:line="240" w:lineRule="auto"/>
        <w:ind w:left="708" w:firstLine="708"/>
        <w:jc w:val="both"/>
        <w:rPr>
          <w:rFonts w:ascii="Garamond" w:hAnsi="Garamond" w:cs="Times New Roman"/>
          <w:sz w:val="24"/>
          <w:szCs w:val="24"/>
        </w:rPr>
      </w:pPr>
      <w:r w:rsidRPr="00155381">
        <w:rPr>
          <w:rFonts w:ascii="Garamond" w:hAnsi="Garamond" w:cs="Times New Roman"/>
          <w:sz w:val="24"/>
          <w:szCs w:val="24"/>
        </w:rPr>
        <w:t xml:space="preserve">   Luis Manoel de Azevedo Carnejro eCunha</w:t>
      </w:r>
    </w:p>
    <w:p w:rsidR="000E0B2A" w:rsidRDefault="000E0B2A" w:rsidP="000E0B2A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0E0B2A" w:rsidRDefault="000E0B2A" w:rsidP="000E0B2A">
      <w:pPr>
        <w:jc w:val="both"/>
        <w:rPr>
          <w:rStyle w:val="txtarial8ptgray1"/>
          <w:rFonts w:ascii="Times New Roman" w:hAnsi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3) </w:t>
      </w:r>
      <w:r w:rsidRPr="00515724">
        <w:rPr>
          <w:rStyle w:val="txtarial8ptgray1"/>
          <w:rFonts w:ascii="Times New Roman" w:hAnsi="Times New Roman"/>
          <w:sz w:val="24"/>
          <w:szCs w:val="24"/>
        </w:rPr>
        <w:t xml:space="preserve">A </w:t>
      </w:r>
      <w:r w:rsidRPr="00515724">
        <w:rPr>
          <w:rStyle w:val="txtarial8ptgray1"/>
          <w:rFonts w:ascii="Times New Roman" w:hAnsi="Times New Roman"/>
          <w:i/>
          <w:sz w:val="24"/>
          <w:szCs w:val="24"/>
        </w:rPr>
        <w:t>Demanda do Santo Graal</w:t>
      </w:r>
      <w:r w:rsidRPr="00515724">
        <w:rPr>
          <w:rStyle w:val="txtarial8ptgray1"/>
          <w:rFonts w:ascii="Times New Roman" w:hAnsi="Times New Roman"/>
          <w:sz w:val="24"/>
          <w:szCs w:val="24"/>
        </w:rPr>
        <w:t xml:space="preserve"> preserva-se atualmente em testemunho único português, o ms. 2594 da Biblioteca Nacional de Viena, datado do século XV. Entre as edições até hoje feitas do manuscrito da </w:t>
      </w:r>
      <w:r w:rsidRPr="00515724">
        <w:rPr>
          <w:rStyle w:val="txtarial8ptgray1"/>
          <w:rFonts w:ascii="Times New Roman" w:hAnsi="Times New Roman"/>
          <w:i/>
          <w:sz w:val="24"/>
          <w:szCs w:val="24"/>
        </w:rPr>
        <w:t>Demanda</w:t>
      </w:r>
      <w:r w:rsidRPr="00515724">
        <w:rPr>
          <w:rStyle w:val="txtarial8ptgray1"/>
          <w:rFonts w:ascii="Times New Roman" w:hAnsi="Times New Roman"/>
          <w:sz w:val="24"/>
          <w:szCs w:val="24"/>
        </w:rPr>
        <w:t>, pode haver lições variantes de uma mesma passagem. Nos exemplos abaixo, constam a passagem do manuscrito e as lições feitas respectivamente por Augusto Magne (1944) e Irene Freire Nunes (1995).</w:t>
      </w:r>
    </w:p>
    <w:p w:rsidR="000E0B2A" w:rsidRDefault="000E0B2A" w:rsidP="000E0B2A"/>
    <w:p w:rsidR="000E0B2A" w:rsidRPr="00AB17A3" w:rsidRDefault="000E0B2A" w:rsidP="000E0B2A">
      <w:r>
        <w:t>3</w:t>
      </w:r>
      <w:r w:rsidRPr="00AB17A3">
        <w:t>.1</w:t>
      </w:r>
    </w:p>
    <w:p w:rsidR="000E0B2A" w:rsidRDefault="000E0B2A" w:rsidP="000E0B2A">
      <w:pPr>
        <w:rPr>
          <w:rFonts w:ascii="Garamond" w:hAnsi="Garamond"/>
        </w:rPr>
      </w:pPr>
      <w:r w:rsidRPr="00AB17A3">
        <w:rPr>
          <w:rFonts w:ascii="Garamond" w:hAnsi="Garamond"/>
          <w:noProof/>
        </w:rPr>
        <w:drawing>
          <wp:inline distT="0" distB="0" distL="0" distR="0" wp14:anchorId="5843EBFD" wp14:editId="40C11E37">
            <wp:extent cx="2476500" cy="762000"/>
            <wp:effectExtent l="0" t="0" r="0" b="0"/>
            <wp:docPr id="5" name="Imagem 5" descr="Descrição: C:\Users\Silvio\Pictures\Picasa\Exportações\2012-09 (set)\digitalizar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Silvio\Pictures\Picasa\Exportações\2012-09 (set)\digitalizar001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B2A" w:rsidRPr="00AB17A3" w:rsidRDefault="000E0B2A" w:rsidP="000E0B2A">
      <w:pPr>
        <w:ind w:left="1416" w:firstLine="708"/>
      </w:pPr>
      <w:r w:rsidRPr="00AB17A3">
        <w:t>(cap. 131, fól. 43, c)</w:t>
      </w:r>
    </w:p>
    <w:p w:rsidR="000E0B2A" w:rsidRDefault="000E0B2A" w:rsidP="000E0B2A">
      <w:pPr>
        <w:jc w:val="both"/>
      </w:pPr>
    </w:p>
    <w:p w:rsidR="000E0B2A" w:rsidRPr="00AB17A3" w:rsidRDefault="000E0B2A" w:rsidP="000E0B2A">
      <w:pPr>
        <w:jc w:val="both"/>
      </w:pPr>
      <w:r w:rsidRPr="00AB17A3">
        <w:t xml:space="preserve">Nom me mentades pola fé que devedes a </w:t>
      </w:r>
      <w:r w:rsidRPr="00AB17A3">
        <w:rPr>
          <w:u w:val="single"/>
        </w:rPr>
        <w:t>tôdolos cavaleiros</w:t>
      </w:r>
      <w:r w:rsidRPr="00AB17A3">
        <w:t xml:space="preserve"> do mundo. (Magne, v. I, p. 176)</w:t>
      </w:r>
    </w:p>
    <w:p w:rsidR="000E0B2A" w:rsidRDefault="000E0B2A" w:rsidP="000E0B2A">
      <w:pPr>
        <w:jc w:val="both"/>
        <w:rPr>
          <w:rFonts w:ascii="Garamond" w:hAnsi="Garamond"/>
        </w:rPr>
      </w:pPr>
      <w:r w:rsidRPr="00AB17A3">
        <w:t xml:space="preserve">Nom me mentades pola fé que devedes a </w:t>
      </w:r>
      <w:r w:rsidRPr="00AB17A3">
        <w:rPr>
          <w:u w:val="single"/>
        </w:rPr>
        <w:t>todolos cavaleiro</w:t>
      </w:r>
      <w:r w:rsidRPr="00AB17A3">
        <w:t xml:space="preserve"> do mundo. (Nunes, p. 104)</w:t>
      </w:r>
      <w:r>
        <w:rPr>
          <w:rFonts w:ascii="Garamond" w:hAnsi="Garamond"/>
        </w:rPr>
        <w:t xml:space="preserve"> </w:t>
      </w:r>
    </w:p>
    <w:p w:rsidR="000E0B2A" w:rsidRDefault="000E0B2A" w:rsidP="000E0B2A">
      <w:pPr>
        <w:rPr>
          <w:rFonts w:ascii="Garamond" w:hAnsi="Garamond"/>
        </w:rPr>
      </w:pPr>
    </w:p>
    <w:p w:rsidR="000E0B2A" w:rsidRPr="00DA3111" w:rsidRDefault="000E0B2A" w:rsidP="000E0B2A">
      <w:r>
        <w:lastRenderedPageBreak/>
        <w:t>3.</w:t>
      </w:r>
      <w:r w:rsidRPr="00DA3111">
        <w:t>2</w:t>
      </w:r>
    </w:p>
    <w:p w:rsidR="000E0B2A" w:rsidRDefault="000E0B2A" w:rsidP="000E0B2A">
      <w:pPr>
        <w:rPr>
          <w:rFonts w:ascii="Garamond" w:hAnsi="Garamond"/>
        </w:rPr>
      </w:pPr>
      <w:r w:rsidRPr="00AB17A3">
        <w:rPr>
          <w:rFonts w:ascii="Garamond" w:hAnsi="Garamond"/>
          <w:noProof/>
        </w:rPr>
        <w:drawing>
          <wp:inline distT="0" distB="0" distL="0" distR="0" wp14:anchorId="4BB10948" wp14:editId="61BDFF2C">
            <wp:extent cx="1409700" cy="381000"/>
            <wp:effectExtent l="0" t="0" r="0" b="0"/>
            <wp:docPr id="4" name="Imagem 4" descr="Descrição: C:\Users\Silvio\Pictures\Picasa\Exportações\2012-09 (set)\digitalizar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C:\Users\Silvio\Pictures\Picasa\Exportações\2012-09 (set)\digitalizar002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B2A" w:rsidRDefault="000E0B2A" w:rsidP="000E0B2A">
      <w:pPr>
        <w:rPr>
          <w:rFonts w:ascii="Garamond" w:hAnsi="Garamond"/>
        </w:rPr>
      </w:pPr>
      <w:r w:rsidRPr="00AB17A3">
        <w:rPr>
          <w:rFonts w:ascii="Garamond" w:hAnsi="Garamond"/>
          <w:noProof/>
        </w:rPr>
        <w:drawing>
          <wp:inline distT="0" distB="0" distL="0" distR="0" wp14:anchorId="50F32A07" wp14:editId="1BA02FBA">
            <wp:extent cx="2524125" cy="485775"/>
            <wp:effectExtent l="0" t="0" r="9525" b="9525"/>
            <wp:docPr id="3" name="Imagem 3" descr="Descrição: C:\Users\Silvio\Pictures\Picasa\Exportações\2012-09 (set)\digitalizar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Descrição: C:\Users\Silvio\Pictures\Picasa\Exportações\2012-09 (set)\digitalizar002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B2A" w:rsidRPr="00DA3111" w:rsidRDefault="000E0B2A" w:rsidP="000E0B2A">
      <w:pPr>
        <w:ind w:left="1416" w:firstLine="708"/>
      </w:pPr>
      <w:r w:rsidRPr="00DA3111">
        <w:t>(cap. 107, fól. 35, b, c)</w:t>
      </w:r>
    </w:p>
    <w:p w:rsidR="000E0B2A" w:rsidRDefault="000E0B2A" w:rsidP="000E0B2A">
      <w:pPr>
        <w:rPr>
          <w:rFonts w:ascii="Garamond" w:hAnsi="Garamond"/>
        </w:rPr>
      </w:pPr>
    </w:p>
    <w:p w:rsidR="000E0B2A" w:rsidRPr="00DA3111" w:rsidRDefault="000E0B2A" w:rsidP="000E0B2A">
      <w:r w:rsidRPr="00DA3111">
        <w:t xml:space="preserve">... e </w:t>
      </w:r>
      <w:r w:rsidRPr="00DA3111">
        <w:rPr>
          <w:i/>
        </w:rPr>
        <w:t>u</w:t>
      </w:r>
      <w:r w:rsidRPr="00DA3111">
        <w:t xml:space="preserve"> nos queríamos partir, </w:t>
      </w:r>
      <w:r w:rsidRPr="00DA3111">
        <w:rPr>
          <w:u w:val="single"/>
        </w:rPr>
        <w:t>aveerom</w:t>
      </w:r>
      <w:r w:rsidRPr="00DA3111">
        <w:t>-nos três aventuras mui maravilhosas. (Magne, v. I, p. 153)</w:t>
      </w:r>
    </w:p>
    <w:p w:rsidR="000E0B2A" w:rsidRPr="00DA3111" w:rsidRDefault="000E0B2A" w:rsidP="000E0B2A">
      <w:r w:rsidRPr="00DA3111">
        <w:t xml:space="preserve">E, </w:t>
      </w:r>
      <w:r w:rsidRPr="00DA3111">
        <w:rPr>
          <w:i/>
        </w:rPr>
        <w:t>onde</w:t>
      </w:r>
      <w:r w:rsidRPr="00DA3111">
        <w:t xml:space="preserve"> nos queríamos partir, </w:t>
      </w:r>
      <w:r w:rsidRPr="00DA3111">
        <w:rPr>
          <w:u w:val="single"/>
        </w:rPr>
        <w:t>aveeo</w:t>
      </w:r>
      <w:r w:rsidRPr="00DA3111">
        <w:t>-nos três aventuras mui maravilhosas. (Nunes, p. 89)</w:t>
      </w:r>
    </w:p>
    <w:p w:rsidR="000E0B2A" w:rsidRDefault="000E0B2A" w:rsidP="000E0B2A">
      <w:pPr>
        <w:rPr>
          <w:rFonts w:ascii="Garamond" w:hAnsi="Garamond"/>
        </w:rPr>
      </w:pPr>
    </w:p>
    <w:p w:rsidR="000E0B2A" w:rsidRPr="00DA3111" w:rsidRDefault="000E0B2A" w:rsidP="000E0B2A">
      <w:r>
        <w:t>3</w:t>
      </w:r>
      <w:r w:rsidRPr="00DA3111">
        <w:t>.3</w:t>
      </w:r>
    </w:p>
    <w:p w:rsidR="000E0B2A" w:rsidRDefault="000E0B2A" w:rsidP="000E0B2A">
      <w:pPr>
        <w:rPr>
          <w:rFonts w:ascii="Garamond" w:hAnsi="Garamond"/>
        </w:rPr>
      </w:pPr>
    </w:p>
    <w:p w:rsidR="000E0B2A" w:rsidRDefault="000E0B2A" w:rsidP="000E0B2A">
      <w:pPr>
        <w:rPr>
          <w:rFonts w:ascii="Garamond" w:hAnsi="Garamond"/>
        </w:rPr>
      </w:pPr>
      <w:r w:rsidRPr="00AB17A3">
        <w:rPr>
          <w:rFonts w:ascii="Garamond" w:hAnsi="Garamond"/>
          <w:noProof/>
        </w:rPr>
        <w:drawing>
          <wp:inline distT="0" distB="0" distL="0" distR="0" wp14:anchorId="6B53BC99" wp14:editId="0677251C">
            <wp:extent cx="2438400" cy="466725"/>
            <wp:effectExtent l="0" t="0" r="0" b="9525"/>
            <wp:docPr id="2" name="Imagem 2" descr="Descrição: C:\Users\Silvio\Pictures\Picasa\Exportações\2012-09 (set)\digitalizar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Descrição: C:\Users\Silvio\Pictures\Picasa\Exportações\2012-09 (set)\digitalizar002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B2A" w:rsidRDefault="000E0B2A" w:rsidP="000E0B2A">
      <w:pPr>
        <w:rPr>
          <w:rFonts w:ascii="Garamond" w:hAnsi="Garamond"/>
        </w:rPr>
      </w:pPr>
    </w:p>
    <w:p w:rsidR="000E0B2A" w:rsidRPr="00DA3111" w:rsidRDefault="000E0B2A" w:rsidP="000E0B2A">
      <w:pPr>
        <w:ind w:left="1416" w:firstLine="708"/>
      </w:pPr>
      <w:r w:rsidRPr="00DA3111">
        <w:t>(cap. 223 / 224, fól. 84, a)</w:t>
      </w:r>
    </w:p>
    <w:p w:rsidR="000E0B2A" w:rsidRDefault="000E0B2A" w:rsidP="000E0B2A">
      <w:pPr>
        <w:rPr>
          <w:rFonts w:ascii="Garamond" w:hAnsi="Garamond"/>
        </w:rPr>
      </w:pPr>
    </w:p>
    <w:p w:rsidR="000E0B2A" w:rsidRPr="00DA3111" w:rsidRDefault="000E0B2A" w:rsidP="000E0B2A">
      <w:pPr>
        <w:jc w:val="both"/>
      </w:pPr>
      <w:r w:rsidRPr="00DA3111">
        <w:t xml:space="preserve">E se alguém me preguntar quem lhas </w:t>
      </w:r>
      <w:r w:rsidRPr="00DA3111">
        <w:rPr>
          <w:u w:val="single"/>
        </w:rPr>
        <w:t>dava</w:t>
      </w:r>
      <w:r w:rsidRPr="00DA3111">
        <w:t xml:space="preserve"> (Magne, v. I, p. 295)</w:t>
      </w:r>
    </w:p>
    <w:p w:rsidR="000E0B2A" w:rsidRPr="00DA3111" w:rsidRDefault="000E0B2A" w:rsidP="000E0B2A">
      <w:pPr>
        <w:jc w:val="both"/>
      </w:pPr>
      <w:r w:rsidRPr="00DA3111">
        <w:t xml:space="preserve">E se alguém me perguntar quem lhas </w:t>
      </w:r>
      <w:r w:rsidRPr="00DA3111">
        <w:rPr>
          <w:u w:val="single"/>
        </w:rPr>
        <w:t>davam</w:t>
      </w:r>
      <w:r w:rsidRPr="00DA3111">
        <w:t xml:space="preserve"> (Nunes, p. 180)</w:t>
      </w:r>
    </w:p>
    <w:p w:rsidR="000E0B2A" w:rsidRDefault="000E0B2A" w:rsidP="000E0B2A">
      <w:pPr>
        <w:rPr>
          <w:rFonts w:ascii="Garamond" w:hAnsi="Garamond"/>
        </w:rPr>
      </w:pPr>
    </w:p>
    <w:p w:rsidR="000E0B2A" w:rsidRPr="00DA3111" w:rsidRDefault="000E0B2A" w:rsidP="000E0B2A">
      <w:r>
        <w:t>3.</w:t>
      </w:r>
      <w:r w:rsidRPr="00DA3111">
        <w:t>4</w:t>
      </w:r>
    </w:p>
    <w:p w:rsidR="000E0B2A" w:rsidRDefault="000E0B2A" w:rsidP="000E0B2A">
      <w:pPr>
        <w:rPr>
          <w:rFonts w:ascii="Garamond" w:hAnsi="Garamond"/>
        </w:rPr>
      </w:pPr>
      <w:r w:rsidRPr="00AB17A3">
        <w:rPr>
          <w:rFonts w:ascii="Garamond" w:hAnsi="Garamond"/>
          <w:noProof/>
        </w:rPr>
        <w:drawing>
          <wp:inline distT="0" distB="0" distL="0" distR="0" wp14:anchorId="23D74976" wp14:editId="152A06BE">
            <wp:extent cx="2400300" cy="771525"/>
            <wp:effectExtent l="0" t="0" r="0" b="9525"/>
            <wp:docPr id="1" name="Imagem 1" descr="Descrição: C:\Users\Silvio\Pictures\Picasa\Exportações\2012-09 (set)\digitalizar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Descrição: C:\Users\Silvio\Pictures\Picasa\Exportações\2012-09 (set)\digitalizar002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B2A" w:rsidRPr="00DA3111" w:rsidRDefault="000E0B2A" w:rsidP="000E0B2A"/>
    <w:p w:rsidR="000E0B2A" w:rsidRPr="00DA3111" w:rsidRDefault="000E0B2A" w:rsidP="000E0B2A">
      <w:pPr>
        <w:ind w:left="1416" w:firstLine="708"/>
      </w:pPr>
      <w:r w:rsidRPr="00DA3111">
        <w:t>(cap. 147, fól. 49, a)</w:t>
      </w:r>
    </w:p>
    <w:p w:rsidR="000E0B2A" w:rsidRPr="00DA3111" w:rsidRDefault="000E0B2A" w:rsidP="000E0B2A"/>
    <w:p w:rsidR="000E0B2A" w:rsidRPr="00DA3111" w:rsidRDefault="000E0B2A" w:rsidP="000E0B2A">
      <w:pPr>
        <w:jc w:val="both"/>
      </w:pPr>
      <w:r w:rsidRPr="00DA3111">
        <w:t xml:space="preserve">- Galvam, vós me havedes morto e escarnido, que me </w:t>
      </w:r>
      <w:r w:rsidRPr="00DA3111">
        <w:rPr>
          <w:u w:val="single"/>
        </w:rPr>
        <w:t>matastes</w:t>
      </w:r>
      <w:r w:rsidRPr="00DA3111">
        <w:t xml:space="preserve"> meu sobrinho, (Magne, v. I, p. 193)</w:t>
      </w:r>
    </w:p>
    <w:p w:rsidR="000E0B2A" w:rsidRDefault="000E0B2A" w:rsidP="000E0B2A">
      <w:pPr>
        <w:jc w:val="both"/>
        <w:rPr>
          <w:rFonts w:ascii="Garamond" w:hAnsi="Garamond"/>
        </w:rPr>
      </w:pPr>
      <w:r w:rsidRPr="00DA3111">
        <w:t xml:space="preserve">- Galvam, vós me havedes morto e escarnido, que me </w:t>
      </w:r>
      <w:r w:rsidRPr="00DA3111">
        <w:rPr>
          <w:u w:val="single"/>
        </w:rPr>
        <w:t>mataste</w:t>
      </w:r>
      <w:r w:rsidRPr="00DA3111">
        <w:t xml:space="preserve"> meu sobrinho, (Nunes, p. 114)</w:t>
      </w:r>
    </w:p>
    <w:p w:rsidR="000E0B2A" w:rsidRDefault="000E0B2A" w:rsidP="000E0B2A">
      <w:pPr>
        <w:jc w:val="both"/>
      </w:pPr>
    </w:p>
    <w:p w:rsidR="000E0B2A" w:rsidRDefault="000E0B2A" w:rsidP="000E0B2A">
      <w:pPr>
        <w:jc w:val="both"/>
      </w:pPr>
      <w:r w:rsidRPr="00515724">
        <w:lastRenderedPageBreak/>
        <w:t>Levando-se em conta o trecho sublinhado nas lições de Magne e Nunes, em confronto com o manuscrito, podem-se perceber diferentes procedimentos editoriais? Alguma das duas edições seria plenamente satisfatória como base para o estudo linguístico?</w:t>
      </w:r>
      <w:r>
        <w:t xml:space="preserve">  </w:t>
      </w:r>
      <w:r w:rsidR="00F247B5">
        <w:t>Quais, provavelmente, seriam os tipos de edições empregados p</w:t>
      </w:r>
      <w:r w:rsidR="00D17A83">
        <w:t>or</w:t>
      </w:r>
      <w:bookmarkStart w:id="0" w:name="_GoBack"/>
      <w:bookmarkEnd w:id="0"/>
      <w:r w:rsidR="00F247B5">
        <w:t xml:space="preserve"> Magne e Nunes.</w:t>
      </w:r>
    </w:p>
    <w:p w:rsidR="000E0B2A" w:rsidRPr="00155381" w:rsidRDefault="000E0B2A" w:rsidP="000E0B2A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2A73DE" w:rsidRPr="002A73DE" w:rsidRDefault="002A73DE" w:rsidP="002A73DE">
      <w:pPr>
        <w:spacing w:after="0" w:line="240" w:lineRule="auto"/>
        <w:jc w:val="both"/>
        <w:rPr>
          <w:color w:val="FF0000"/>
          <w:sz w:val="24"/>
          <w:szCs w:val="24"/>
        </w:rPr>
      </w:pPr>
      <w:r w:rsidRPr="002A73DE">
        <w:rPr>
          <w:color w:val="FF0000"/>
          <w:sz w:val="24"/>
          <w:szCs w:val="24"/>
        </w:rPr>
        <w:t>Entrega dia 18.12.2020, pelo e-mail &lt;modolo@usp.br&gt;</w:t>
      </w:r>
    </w:p>
    <w:p w:rsidR="00EC6CF0" w:rsidRPr="002A73DE" w:rsidRDefault="00EC6CF0" w:rsidP="00731A7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EC6CF0" w:rsidRPr="002A73DE"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167B" w:rsidRDefault="00BA167B" w:rsidP="00EC6CF0">
      <w:pPr>
        <w:spacing w:after="0" w:line="240" w:lineRule="auto"/>
      </w:pPr>
      <w:r>
        <w:separator/>
      </w:r>
    </w:p>
  </w:endnote>
  <w:endnote w:type="continuationSeparator" w:id="0">
    <w:p w:rsidR="00BA167B" w:rsidRDefault="00BA167B" w:rsidP="00EC6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774078"/>
      <w:docPartObj>
        <w:docPartGallery w:val="Page Numbers (Bottom of Page)"/>
        <w:docPartUnique/>
      </w:docPartObj>
    </w:sdtPr>
    <w:sdtEndPr/>
    <w:sdtContent>
      <w:p w:rsidR="002A73DE" w:rsidRDefault="002A73D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A73DE" w:rsidRDefault="002A73D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167B" w:rsidRDefault="00BA167B" w:rsidP="00EC6CF0">
      <w:pPr>
        <w:spacing w:after="0" w:line="240" w:lineRule="auto"/>
      </w:pPr>
      <w:r>
        <w:separator/>
      </w:r>
    </w:p>
  </w:footnote>
  <w:footnote w:type="continuationSeparator" w:id="0">
    <w:p w:rsidR="00BA167B" w:rsidRDefault="00BA167B" w:rsidP="00EC6CF0">
      <w:pPr>
        <w:spacing w:after="0" w:line="240" w:lineRule="auto"/>
      </w:pPr>
      <w:r>
        <w:continuationSeparator/>
      </w:r>
    </w:p>
  </w:footnote>
  <w:footnote w:id="1">
    <w:p w:rsidR="00EC6CF0" w:rsidRDefault="00EC6CF0" w:rsidP="00EC6CF0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6D0D65">
        <w:rPr>
          <w:rFonts w:ascii="Times New Roman" w:hAnsi="Times New Roman" w:cs="Times New Roman"/>
        </w:rPr>
        <w:t xml:space="preserve">Fonte: &lt; </w:t>
      </w:r>
      <w:hyperlink r:id="rId1" w:history="1">
        <w:r w:rsidRPr="006D0D65">
          <w:rPr>
            <w:rStyle w:val="Hyperlink"/>
            <w:rFonts w:ascii="Times New Roman" w:hAnsi="Times New Roman" w:cs="Times New Roman"/>
          </w:rPr>
          <w:t>http://www2.fcsh.unl.pt/invest/glossario/glossario.htm</w:t>
        </w:r>
      </w:hyperlink>
      <w:r w:rsidRPr="006D0D65">
        <w:rPr>
          <w:rFonts w:ascii="Times New Roman" w:hAnsi="Times New Roman" w:cs="Times New Roman"/>
        </w:rPr>
        <w:t>&gt; Consultado dia 27/09/2017, às 20h 26min.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03DCD"/>
    <w:multiLevelType w:val="hybridMultilevel"/>
    <w:tmpl w:val="53262908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4BF"/>
    <w:rsid w:val="000E0B2A"/>
    <w:rsid w:val="001744C2"/>
    <w:rsid w:val="002A73DE"/>
    <w:rsid w:val="006E3A7C"/>
    <w:rsid w:val="00731A7B"/>
    <w:rsid w:val="008A73B1"/>
    <w:rsid w:val="009414BF"/>
    <w:rsid w:val="00BA167B"/>
    <w:rsid w:val="00D17A83"/>
    <w:rsid w:val="00EC6CF0"/>
    <w:rsid w:val="00F247B5"/>
    <w:rsid w:val="00F8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hapeDefaults>
    <o:shapedefaults v:ext="edit" spidmax="1026"/>
    <o:shapelayout v:ext="edit">
      <o:idmap v:ext="edit" data="1"/>
    </o:shapelayout>
  </w:shapeDefaults>
  <w:decimalSymbol w:val=","/>
  <w:listSeparator w:val=";"/>
  <w14:docId w14:val="76C74EE6"/>
  <w15:chartTrackingRefBased/>
  <w15:docId w15:val="{2F45B0F1-C3AB-41ED-B0F1-A5527CFA5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41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C6CF0"/>
    <w:pPr>
      <w:spacing w:after="0" w:line="240" w:lineRule="auto"/>
    </w:pPr>
    <w:rPr>
      <w:noProof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C6CF0"/>
    <w:rPr>
      <w:noProof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C6CF0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EC6CF0"/>
    <w:pPr>
      <w:spacing w:after="0"/>
      <w:ind w:left="720"/>
      <w:contextualSpacing/>
    </w:pPr>
    <w:rPr>
      <w:noProof/>
    </w:rPr>
  </w:style>
  <w:style w:type="character" w:customStyle="1" w:styleId="apple-converted-space">
    <w:name w:val="apple-converted-space"/>
    <w:basedOn w:val="Fontepargpadro"/>
    <w:rsid w:val="00EC6CF0"/>
  </w:style>
  <w:style w:type="character" w:styleId="Hyperlink">
    <w:name w:val="Hyperlink"/>
    <w:basedOn w:val="Fontepargpadro"/>
    <w:uiPriority w:val="99"/>
    <w:unhideWhenUsed/>
    <w:rsid w:val="00EC6CF0"/>
    <w:rPr>
      <w:color w:val="0563C1" w:themeColor="hyperlink"/>
      <w:u w:val="single"/>
    </w:rPr>
  </w:style>
  <w:style w:type="character" w:customStyle="1" w:styleId="txtarial8ptgray1">
    <w:name w:val="txt_arial_8pt_gray1"/>
    <w:rsid w:val="000E0B2A"/>
    <w:rPr>
      <w:rFonts w:ascii="Verdana" w:hAnsi="Verdana" w:hint="default"/>
      <w:color w:val="666666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A73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73DE"/>
  </w:style>
  <w:style w:type="paragraph" w:styleId="Rodap">
    <w:name w:val="footer"/>
    <w:basedOn w:val="Normal"/>
    <w:link w:val="RodapChar"/>
    <w:uiPriority w:val="99"/>
    <w:unhideWhenUsed/>
    <w:rsid w:val="002A73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7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2.fcsh.unl.pt/invest/glossario/glossario.h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623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PARECERISTA</dc:creator>
  <cp:keywords/>
  <dc:description/>
  <cp:lastModifiedBy>PARECERISTA</cp:lastModifiedBy>
  <cp:revision>7</cp:revision>
  <dcterms:created xsi:type="dcterms:W3CDTF">2020-11-16T02:41:00Z</dcterms:created>
  <dcterms:modified xsi:type="dcterms:W3CDTF">2020-11-16T12:14:00Z</dcterms:modified>
</cp:coreProperties>
</file>