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6813" w14:textId="77777777" w:rsidR="008346E7" w:rsidRPr="006D6F56" w:rsidRDefault="008346E7" w:rsidP="006D6F56">
      <w:pPr>
        <w:spacing w:line="360" w:lineRule="auto"/>
        <w:jc w:val="center"/>
        <w:rPr>
          <w:rFonts w:ascii="Cambria" w:hAnsi="Cambria" w:cs="Times New Roman"/>
          <w:b/>
          <w:smallCaps/>
          <w:sz w:val="22"/>
          <w:szCs w:val="22"/>
          <w:lang w:val="pt-BR"/>
        </w:rPr>
      </w:pPr>
      <w:bookmarkStart w:id="0" w:name="_Hlk51610347"/>
      <w:r w:rsidRPr="006D6F56">
        <w:rPr>
          <w:rFonts w:ascii="Cambria" w:hAnsi="Cambria" w:cs="Times New Roman"/>
          <w:b/>
          <w:smallCaps/>
          <w:sz w:val="22"/>
          <w:szCs w:val="22"/>
          <w:lang w:val="pt-BR"/>
        </w:rPr>
        <w:t>DPC0327 - Direito Processual Penal II</w:t>
      </w:r>
    </w:p>
    <w:p w14:paraId="5F623839" w14:textId="77777777" w:rsidR="008346E7" w:rsidRPr="006D6F56" w:rsidRDefault="008346E7" w:rsidP="006D6F56">
      <w:pPr>
        <w:spacing w:line="360" w:lineRule="auto"/>
        <w:jc w:val="center"/>
        <w:rPr>
          <w:rFonts w:ascii="Cambria" w:hAnsi="Cambria" w:cs="Times New Roman"/>
          <w:sz w:val="22"/>
          <w:szCs w:val="22"/>
          <w:lang w:val="pt-BR"/>
        </w:rPr>
      </w:pPr>
      <w:bookmarkStart w:id="1" w:name="_Hlk51610350"/>
      <w:bookmarkEnd w:id="0"/>
      <w:r w:rsidRPr="006D6F56">
        <w:rPr>
          <w:rFonts w:ascii="Cambria" w:hAnsi="Cambria" w:cs="Times New Roman"/>
          <w:sz w:val="22"/>
          <w:szCs w:val="22"/>
          <w:lang w:val="pt-BR"/>
        </w:rPr>
        <w:t>Professora Doutora Marta Saad</w:t>
      </w:r>
    </w:p>
    <w:p w14:paraId="52346A7E" w14:textId="77777777" w:rsidR="008346E7" w:rsidRPr="006D6F56" w:rsidRDefault="008346E7" w:rsidP="006D6F56">
      <w:pPr>
        <w:spacing w:line="360" w:lineRule="auto"/>
        <w:jc w:val="center"/>
        <w:rPr>
          <w:rFonts w:ascii="Cambria" w:hAnsi="Cambria" w:cs="Times New Roman"/>
          <w:sz w:val="22"/>
          <w:szCs w:val="22"/>
          <w:lang w:val="pt-BR"/>
        </w:rPr>
      </w:pPr>
      <w:r w:rsidRPr="006D6F56">
        <w:rPr>
          <w:rFonts w:ascii="Cambria" w:hAnsi="Cambria" w:cs="Times New Roman"/>
          <w:sz w:val="22"/>
          <w:szCs w:val="22"/>
          <w:lang w:val="pt-BR"/>
        </w:rPr>
        <w:t>Monitores Daiana Ryu e Pedro Arcuri</w:t>
      </w:r>
    </w:p>
    <w:bookmarkEnd w:id="1"/>
    <w:p w14:paraId="3FE633DF" w14:textId="77777777" w:rsidR="008346E7" w:rsidRPr="006D6F56" w:rsidRDefault="008346E7" w:rsidP="006D6F56">
      <w:pPr>
        <w:spacing w:line="360" w:lineRule="auto"/>
        <w:jc w:val="both"/>
        <w:rPr>
          <w:rFonts w:ascii="Cambria" w:hAnsi="Cambria" w:cs="Times New Roman"/>
          <w:b/>
          <w:sz w:val="22"/>
          <w:szCs w:val="22"/>
          <w:lang w:val="pt-BR"/>
        </w:rPr>
      </w:pPr>
    </w:p>
    <w:p w14:paraId="7D60D284" w14:textId="7D0875E5" w:rsidR="008346E7" w:rsidRPr="006D6F56" w:rsidRDefault="00430B4F" w:rsidP="006D6F56">
      <w:pPr>
        <w:spacing w:line="360" w:lineRule="auto"/>
        <w:jc w:val="center"/>
        <w:rPr>
          <w:rFonts w:ascii="Cambria" w:hAnsi="Cambria" w:cs="Times New Roman"/>
          <w:b/>
          <w:sz w:val="22"/>
          <w:szCs w:val="22"/>
          <w:lang w:val="pt-BR"/>
        </w:rPr>
      </w:pPr>
      <w:r>
        <w:rPr>
          <w:rFonts w:ascii="Cambria" w:hAnsi="Cambria" w:cs="Times New Roman"/>
          <w:b/>
          <w:sz w:val="22"/>
          <w:szCs w:val="22"/>
          <w:lang w:val="pt-BR"/>
        </w:rPr>
        <w:t>Seminário 3</w:t>
      </w:r>
      <w:r w:rsidR="008346E7" w:rsidRPr="006D6F56">
        <w:rPr>
          <w:rFonts w:ascii="Cambria" w:hAnsi="Cambria" w:cs="Times New Roman"/>
          <w:b/>
          <w:sz w:val="22"/>
          <w:szCs w:val="22"/>
          <w:lang w:val="pt-BR"/>
        </w:rPr>
        <w:t xml:space="preserve">: </w:t>
      </w:r>
      <w:r>
        <w:rPr>
          <w:rFonts w:ascii="Cambria" w:hAnsi="Cambria" w:cs="Times New Roman"/>
          <w:b/>
          <w:sz w:val="22"/>
          <w:szCs w:val="22"/>
          <w:lang w:val="pt-BR"/>
        </w:rPr>
        <w:t>provas</w:t>
      </w:r>
    </w:p>
    <w:p w14:paraId="0679105C" w14:textId="77777777" w:rsidR="008346E7" w:rsidRDefault="008346E7" w:rsidP="006D6F56">
      <w:pPr>
        <w:spacing w:line="360" w:lineRule="auto"/>
        <w:jc w:val="both"/>
        <w:rPr>
          <w:rFonts w:ascii="Cambria" w:hAnsi="Cambria" w:cs="Times New Roman"/>
          <w:bCs/>
          <w:sz w:val="22"/>
          <w:szCs w:val="22"/>
          <w:lang w:val="pt-BR"/>
        </w:rPr>
      </w:pPr>
    </w:p>
    <w:p w14:paraId="4DB70A85" w14:textId="77777777" w:rsidR="00BA38CF" w:rsidRPr="006D6F56" w:rsidRDefault="00BA38CF" w:rsidP="006D6F56">
      <w:pPr>
        <w:spacing w:line="360" w:lineRule="auto"/>
        <w:jc w:val="both"/>
        <w:rPr>
          <w:rFonts w:ascii="Cambria" w:hAnsi="Cambria" w:cs="Times New Roman"/>
          <w:bCs/>
          <w:sz w:val="22"/>
          <w:szCs w:val="22"/>
          <w:lang w:val="pt-BR"/>
        </w:rPr>
      </w:pPr>
    </w:p>
    <w:p w14:paraId="6D755D61" w14:textId="77777777" w:rsidR="008346E7" w:rsidRPr="006D6F56" w:rsidRDefault="008346E7" w:rsidP="006D6F56">
      <w:pPr>
        <w:spacing w:line="360" w:lineRule="auto"/>
        <w:jc w:val="both"/>
        <w:rPr>
          <w:rFonts w:ascii="Cambria" w:hAnsi="Cambria" w:cs="Times New Roman"/>
          <w:b/>
          <w:sz w:val="22"/>
          <w:szCs w:val="22"/>
          <w:lang w:val="pt-BR"/>
        </w:rPr>
      </w:pPr>
      <w:r w:rsidRPr="006D6F56">
        <w:rPr>
          <w:rFonts w:ascii="Cambria" w:hAnsi="Cambria" w:cs="Times New Roman"/>
          <w:b/>
          <w:sz w:val="22"/>
          <w:szCs w:val="22"/>
          <w:lang w:val="pt-BR"/>
        </w:rPr>
        <w:t>. Caso 01</w:t>
      </w:r>
    </w:p>
    <w:p w14:paraId="4A8C48C6" w14:textId="4861166D" w:rsidR="008346E7" w:rsidRDefault="008346E7" w:rsidP="006D6F56">
      <w:pPr>
        <w:spacing w:line="360" w:lineRule="auto"/>
        <w:jc w:val="both"/>
        <w:rPr>
          <w:rFonts w:ascii="Cambria" w:hAnsi="Cambria" w:cs="Times New Roman"/>
          <w:bCs/>
          <w:sz w:val="22"/>
          <w:szCs w:val="22"/>
          <w:lang w:val="pt-BR"/>
        </w:rPr>
      </w:pPr>
      <w:r w:rsidRPr="006D6F56">
        <w:rPr>
          <w:rFonts w:ascii="Cambria" w:hAnsi="Cambria" w:cs="Times New Roman"/>
          <w:bCs/>
          <w:sz w:val="22"/>
          <w:szCs w:val="22"/>
          <w:lang w:val="pt-BR"/>
        </w:rPr>
        <w:t xml:space="preserve">Subtema: </w:t>
      </w:r>
      <w:r w:rsidR="0067174D">
        <w:rPr>
          <w:rFonts w:ascii="Cambria" w:hAnsi="Cambria" w:cs="Times New Roman"/>
          <w:bCs/>
          <w:sz w:val="22"/>
          <w:szCs w:val="22"/>
          <w:lang w:val="pt-BR"/>
        </w:rPr>
        <w:t>validade do reconhecimento pessoal e fotográfico</w:t>
      </w:r>
    </w:p>
    <w:p w14:paraId="1C73527B" w14:textId="77777777" w:rsidR="001E439D" w:rsidRDefault="001E439D" w:rsidP="006D6F56">
      <w:pPr>
        <w:spacing w:line="360" w:lineRule="auto"/>
        <w:jc w:val="both"/>
        <w:rPr>
          <w:rFonts w:ascii="Cambria" w:hAnsi="Cambria" w:cs="Times New Roman"/>
          <w:bCs/>
          <w:sz w:val="22"/>
          <w:szCs w:val="22"/>
          <w:lang w:val="pt-BR"/>
        </w:rPr>
      </w:pPr>
    </w:p>
    <w:p w14:paraId="0F2FFF0B" w14:textId="79D518FF" w:rsidR="001E439D" w:rsidRPr="006D6F56" w:rsidRDefault="00F45D89" w:rsidP="00BE67DA">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Enquanto aguardava a abertura do portão da garagem de sua residência, P. foi abordado por três indivíduos que anunciaram o assalto. Durante a ação, o assaltante que portava arma de fogo manteve </w:t>
      </w:r>
      <w:r w:rsidR="00527CC2">
        <w:rPr>
          <w:rFonts w:ascii="Cambria" w:hAnsi="Cambria" w:cs="Times New Roman"/>
          <w:bCs/>
          <w:sz w:val="22"/>
          <w:szCs w:val="22"/>
          <w:lang w:val="pt-BR"/>
        </w:rPr>
        <w:t xml:space="preserve">P. </w:t>
      </w:r>
      <w:r>
        <w:rPr>
          <w:rFonts w:ascii="Cambria" w:hAnsi="Cambria" w:cs="Times New Roman"/>
          <w:bCs/>
          <w:sz w:val="22"/>
          <w:szCs w:val="22"/>
          <w:lang w:val="pt-BR"/>
        </w:rPr>
        <w:t xml:space="preserve">dentro do banheiro, enquanto os outros dois vasculharam a casa em busca de bens de valor. Após cerca de quinze minutos, os assaltantes foram embora, havendo subtraído </w:t>
      </w:r>
      <w:r w:rsidR="001E439D">
        <w:rPr>
          <w:rFonts w:ascii="Cambria" w:hAnsi="Cambria" w:cs="Times New Roman"/>
          <w:bCs/>
          <w:sz w:val="22"/>
          <w:szCs w:val="22"/>
          <w:lang w:val="pt-BR"/>
        </w:rPr>
        <w:t xml:space="preserve">vinte mil reais em dinheiro, dois notebooks e um aparelho celular. </w:t>
      </w:r>
      <w:r>
        <w:rPr>
          <w:rFonts w:ascii="Cambria" w:hAnsi="Cambria" w:cs="Times New Roman"/>
          <w:bCs/>
          <w:sz w:val="22"/>
          <w:szCs w:val="22"/>
          <w:lang w:val="pt-BR"/>
        </w:rPr>
        <w:t>P. foi à casa de seu vizinho e acionou a polícia, informando as circunstâncias da ocorrência e detalhando as vestimentas do assaltante que o manteve no banheiro.</w:t>
      </w:r>
      <w:r w:rsidR="00527CC2">
        <w:rPr>
          <w:rFonts w:ascii="Cambria" w:hAnsi="Cambria" w:cs="Times New Roman"/>
          <w:bCs/>
          <w:sz w:val="22"/>
          <w:szCs w:val="22"/>
          <w:lang w:val="pt-BR"/>
        </w:rPr>
        <w:t xml:space="preserve"> </w:t>
      </w:r>
      <w:r>
        <w:rPr>
          <w:rFonts w:ascii="Cambria" w:hAnsi="Cambria" w:cs="Times New Roman"/>
          <w:bCs/>
          <w:sz w:val="22"/>
          <w:szCs w:val="22"/>
          <w:lang w:val="pt-BR"/>
        </w:rPr>
        <w:t>Dois dias depois, P. recebeu telefonema de policiais civis, dizendo-lhe que haviam encontrado os seus bens e</w:t>
      </w:r>
      <w:r w:rsidR="006922B7">
        <w:rPr>
          <w:rFonts w:ascii="Cambria" w:hAnsi="Cambria" w:cs="Times New Roman"/>
          <w:bCs/>
          <w:sz w:val="22"/>
          <w:szCs w:val="22"/>
          <w:lang w:val="pt-BR"/>
        </w:rPr>
        <w:t xml:space="preserve"> prendido um dos assaltantes.</w:t>
      </w:r>
      <w:r w:rsidR="00527CC2">
        <w:rPr>
          <w:rFonts w:ascii="Cambria" w:hAnsi="Cambria" w:cs="Times New Roman"/>
          <w:bCs/>
          <w:sz w:val="22"/>
          <w:szCs w:val="22"/>
          <w:lang w:val="pt-BR"/>
        </w:rPr>
        <w:t xml:space="preserve"> </w:t>
      </w:r>
      <w:r w:rsidR="006922B7">
        <w:rPr>
          <w:rFonts w:ascii="Cambria" w:hAnsi="Cambria" w:cs="Times New Roman"/>
          <w:bCs/>
          <w:sz w:val="22"/>
          <w:szCs w:val="22"/>
          <w:lang w:val="pt-BR"/>
        </w:rPr>
        <w:t xml:space="preserve">Na delegacia, </w:t>
      </w:r>
      <w:r>
        <w:rPr>
          <w:rFonts w:ascii="Cambria" w:hAnsi="Cambria" w:cs="Times New Roman"/>
          <w:bCs/>
          <w:sz w:val="22"/>
          <w:szCs w:val="22"/>
          <w:lang w:val="pt-BR"/>
        </w:rPr>
        <w:t xml:space="preserve">os policiais lhe explicaram que já vinham monitorando </w:t>
      </w:r>
      <w:r w:rsidR="006922B7">
        <w:rPr>
          <w:rFonts w:ascii="Cambria" w:hAnsi="Cambria" w:cs="Times New Roman"/>
          <w:bCs/>
          <w:sz w:val="22"/>
          <w:szCs w:val="22"/>
          <w:lang w:val="pt-BR"/>
        </w:rPr>
        <w:t xml:space="preserve">há três meses </w:t>
      </w:r>
      <w:r>
        <w:rPr>
          <w:rFonts w:ascii="Cambria" w:hAnsi="Cambria" w:cs="Times New Roman"/>
          <w:bCs/>
          <w:sz w:val="22"/>
          <w:szCs w:val="22"/>
          <w:lang w:val="pt-BR"/>
        </w:rPr>
        <w:t>uma quadrilha suspeita de praticar este tipo de crime na região, e que os seus bens haviam sido encontrados em um terreno baldio próximo à residência dos suspeitos.</w:t>
      </w:r>
      <w:r w:rsidR="00527CC2">
        <w:rPr>
          <w:rFonts w:ascii="Cambria" w:hAnsi="Cambria" w:cs="Times New Roman"/>
          <w:bCs/>
          <w:sz w:val="22"/>
          <w:szCs w:val="22"/>
          <w:lang w:val="pt-BR"/>
        </w:rPr>
        <w:t xml:space="preserve"> </w:t>
      </w:r>
      <w:r>
        <w:rPr>
          <w:rFonts w:ascii="Cambria" w:hAnsi="Cambria" w:cs="Times New Roman"/>
          <w:bCs/>
          <w:sz w:val="22"/>
          <w:szCs w:val="22"/>
          <w:lang w:val="pt-BR"/>
        </w:rPr>
        <w:t>Instado a real</w:t>
      </w:r>
      <w:r w:rsidR="006922B7">
        <w:rPr>
          <w:rFonts w:ascii="Cambria" w:hAnsi="Cambria" w:cs="Times New Roman"/>
          <w:bCs/>
          <w:sz w:val="22"/>
          <w:szCs w:val="22"/>
          <w:lang w:val="pt-BR"/>
        </w:rPr>
        <w:t>izar o reconhecimento pessoal de J., o</w:t>
      </w:r>
      <w:r>
        <w:rPr>
          <w:rFonts w:ascii="Cambria" w:hAnsi="Cambria" w:cs="Times New Roman"/>
          <w:bCs/>
          <w:sz w:val="22"/>
          <w:szCs w:val="22"/>
          <w:lang w:val="pt-BR"/>
        </w:rPr>
        <w:t xml:space="preserve"> único suspeito preso</w:t>
      </w:r>
      <w:r w:rsidR="006922B7">
        <w:rPr>
          <w:rFonts w:ascii="Cambria" w:hAnsi="Cambria" w:cs="Times New Roman"/>
          <w:bCs/>
          <w:sz w:val="22"/>
          <w:szCs w:val="22"/>
          <w:lang w:val="pt-BR"/>
        </w:rPr>
        <w:t>,</w:t>
      </w:r>
      <w:r>
        <w:rPr>
          <w:rFonts w:ascii="Cambria" w:hAnsi="Cambria" w:cs="Times New Roman"/>
          <w:bCs/>
          <w:sz w:val="22"/>
          <w:szCs w:val="22"/>
          <w:lang w:val="pt-BR"/>
        </w:rPr>
        <w:t xml:space="preserve"> P. afirmou ter tido contato mais próximo com apenas um dos assaltantes, que não era aquele que lhe apresentavam.</w:t>
      </w:r>
      <w:r w:rsidR="00527CC2">
        <w:rPr>
          <w:rFonts w:ascii="Cambria" w:hAnsi="Cambria" w:cs="Times New Roman"/>
          <w:bCs/>
          <w:sz w:val="22"/>
          <w:szCs w:val="22"/>
          <w:lang w:val="pt-BR"/>
        </w:rPr>
        <w:t xml:space="preserve"> </w:t>
      </w:r>
      <w:r>
        <w:rPr>
          <w:rFonts w:ascii="Cambria" w:hAnsi="Cambria" w:cs="Times New Roman"/>
          <w:bCs/>
          <w:sz w:val="22"/>
          <w:szCs w:val="22"/>
          <w:lang w:val="pt-BR"/>
        </w:rPr>
        <w:t xml:space="preserve">Os policiais lhe mostraram, então, uma fotografia </w:t>
      </w:r>
      <w:r w:rsidR="00527CC2">
        <w:rPr>
          <w:rFonts w:ascii="Cambria" w:hAnsi="Cambria" w:cs="Times New Roman"/>
          <w:bCs/>
          <w:sz w:val="22"/>
          <w:szCs w:val="22"/>
          <w:lang w:val="pt-BR"/>
        </w:rPr>
        <w:t>obtida n</w:t>
      </w:r>
      <w:r>
        <w:rPr>
          <w:rFonts w:ascii="Cambria" w:hAnsi="Cambria" w:cs="Times New Roman"/>
          <w:bCs/>
          <w:sz w:val="22"/>
          <w:szCs w:val="22"/>
          <w:lang w:val="pt-BR"/>
        </w:rPr>
        <w:t xml:space="preserve">o facebook em que </w:t>
      </w:r>
      <w:r w:rsidR="006922B7">
        <w:rPr>
          <w:rFonts w:ascii="Cambria" w:hAnsi="Cambria" w:cs="Times New Roman"/>
          <w:bCs/>
          <w:sz w:val="22"/>
          <w:szCs w:val="22"/>
          <w:lang w:val="pt-BR"/>
        </w:rPr>
        <w:t>J. aparece</w:t>
      </w:r>
      <w:r>
        <w:rPr>
          <w:rFonts w:ascii="Cambria" w:hAnsi="Cambria" w:cs="Times New Roman"/>
          <w:bCs/>
          <w:sz w:val="22"/>
          <w:szCs w:val="22"/>
          <w:lang w:val="pt-BR"/>
        </w:rPr>
        <w:t xml:space="preserve"> ao lado de </w:t>
      </w:r>
      <w:r w:rsidR="006922B7">
        <w:rPr>
          <w:rFonts w:ascii="Cambria" w:hAnsi="Cambria" w:cs="Times New Roman"/>
          <w:bCs/>
          <w:sz w:val="22"/>
          <w:szCs w:val="22"/>
          <w:lang w:val="pt-BR"/>
        </w:rPr>
        <w:t>K</w:t>
      </w:r>
      <w:r>
        <w:rPr>
          <w:rFonts w:ascii="Cambria" w:hAnsi="Cambria" w:cs="Times New Roman"/>
          <w:bCs/>
          <w:sz w:val="22"/>
          <w:szCs w:val="22"/>
          <w:lang w:val="pt-BR"/>
        </w:rPr>
        <w:t>.</w:t>
      </w:r>
      <w:r w:rsidR="00527CC2">
        <w:rPr>
          <w:rFonts w:ascii="Cambria" w:hAnsi="Cambria" w:cs="Times New Roman"/>
          <w:bCs/>
          <w:sz w:val="22"/>
          <w:szCs w:val="22"/>
          <w:lang w:val="pt-BR"/>
        </w:rPr>
        <w:t xml:space="preserve"> </w:t>
      </w:r>
      <w:r>
        <w:rPr>
          <w:rFonts w:ascii="Cambria" w:hAnsi="Cambria" w:cs="Times New Roman"/>
          <w:bCs/>
          <w:sz w:val="22"/>
          <w:szCs w:val="22"/>
          <w:lang w:val="pt-BR"/>
        </w:rPr>
        <w:t xml:space="preserve">Após uma análise minuciosa da fotografia, P. reconheceu, sem sombra de dúvidas, </w:t>
      </w:r>
      <w:r w:rsidR="006922B7">
        <w:rPr>
          <w:rFonts w:ascii="Cambria" w:hAnsi="Cambria" w:cs="Times New Roman"/>
          <w:bCs/>
          <w:sz w:val="22"/>
          <w:szCs w:val="22"/>
          <w:lang w:val="pt-BR"/>
        </w:rPr>
        <w:t xml:space="preserve">K. </w:t>
      </w:r>
      <w:r>
        <w:rPr>
          <w:rFonts w:ascii="Cambria" w:hAnsi="Cambria" w:cs="Times New Roman"/>
          <w:bCs/>
          <w:sz w:val="22"/>
          <w:szCs w:val="22"/>
          <w:lang w:val="pt-BR"/>
        </w:rPr>
        <w:t>como o assalt</w:t>
      </w:r>
      <w:r w:rsidR="006922B7">
        <w:rPr>
          <w:rFonts w:ascii="Cambria" w:hAnsi="Cambria" w:cs="Times New Roman"/>
          <w:bCs/>
          <w:sz w:val="22"/>
          <w:szCs w:val="22"/>
          <w:lang w:val="pt-BR"/>
        </w:rPr>
        <w:t>ante que o manteve no banheiro durante o crime.</w:t>
      </w:r>
      <w:r w:rsidR="00527CC2">
        <w:rPr>
          <w:rFonts w:ascii="Cambria" w:hAnsi="Cambria" w:cs="Times New Roman"/>
          <w:bCs/>
          <w:sz w:val="22"/>
          <w:szCs w:val="22"/>
          <w:lang w:val="pt-BR"/>
        </w:rPr>
        <w:t xml:space="preserve"> </w:t>
      </w:r>
      <w:r w:rsidR="006922B7">
        <w:rPr>
          <w:rFonts w:ascii="Cambria" w:hAnsi="Cambria" w:cs="Times New Roman"/>
          <w:bCs/>
          <w:sz w:val="22"/>
          <w:szCs w:val="22"/>
          <w:lang w:val="pt-BR"/>
        </w:rPr>
        <w:t>Diante disso, lavrou-se auto de reconhecimento pessoal positivo com relação a J. e auto de reconhecimento fotográfico positivo com relação a K.</w:t>
      </w:r>
      <w:r w:rsidR="00527CC2">
        <w:rPr>
          <w:rFonts w:ascii="Cambria" w:hAnsi="Cambria" w:cs="Times New Roman"/>
          <w:bCs/>
          <w:sz w:val="22"/>
          <w:szCs w:val="22"/>
          <w:lang w:val="pt-BR"/>
        </w:rPr>
        <w:t xml:space="preserve"> </w:t>
      </w:r>
      <w:r w:rsidR="006922B7">
        <w:rPr>
          <w:rFonts w:ascii="Cambria" w:hAnsi="Cambria" w:cs="Times New Roman"/>
          <w:bCs/>
          <w:sz w:val="22"/>
          <w:szCs w:val="22"/>
          <w:lang w:val="pt-BR"/>
        </w:rPr>
        <w:t>Cinco dias depois, o Ministério Público ofereceu denúncia contra K. e J. pela prática do roubo.</w:t>
      </w:r>
      <w:r w:rsidR="00527CC2">
        <w:rPr>
          <w:rFonts w:ascii="Cambria" w:hAnsi="Cambria" w:cs="Times New Roman"/>
          <w:bCs/>
          <w:sz w:val="22"/>
          <w:szCs w:val="22"/>
          <w:lang w:val="pt-BR"/>
        </w:rPr>
        <w:t xml:space="preserve"> </w:t>
      </w:r>
      <w:r w:rsidR="006922B7">
        <w:rPr>
          <w:rFonts w:ascii="Cambria" w:hAnsi="Cambria" w:cs="Times New Roman"/>
          <w:bCs/>
          <w:sz w:val="22"/>
          <w:szCs w:val="22"/>
          <w:lang w:val="pt-BR"/>
        </w:rPr>
        <w:t>Em juízo, P. foi levado a uma sala em que havia seis indivíduos</w:t>
      </w:r>
      <w:r w:rsidR="00BE67DA">
        <w:rPr>
          <w:rFonts w:ascii="Cambria" w:hAnsi="Cambria" w:cs="Times New Roman"/>
          <w:bCs/>
          <w:sz w:val="22"/>
          <w:szCs w:val="22"/>
          <w:lang w:val="pt-BR"/>
        </w:rPr>
        <w:t xml:space="preserve"> e reconheceu, sem titubear, os acusados J. e K. como os roubadores. </w:t>
      </w:r>
      <w:r w:rsidR="006922B7">
        <w:rPr>
          <w:rFonts w:ascii="Cambria" w:hAnsi="Cambria" w:cs="Times New Roman"/>
          <w:bCs/>
          <w:sz w:val="22"/>
          <w:szCs w:val="22"/>
          <w:lang w:val="pt-BR"/>
        </w:rPr>
        <w:t>Os acusados sempre negaram a prática do crime.</w:t>
      </w:r>
      <w:r w:rsidR="00527CC2">
        <w:rPr>
          <w:rFonts w:ascii="Cambria" w:hAnsi="Cambria" w:cs="Times New Roman"/>
          <w:bCs/>
          <w:sz w:val="22"/>
          <w:szCs w:val="22"/>
          <w:lang w:val="pt-BR"/>
        </w:rPr>
        <w:t xml:space="preserve"> </w:t>
      </w:r>
      <w:r w:rsidR="006922B7">
        <w:rPr>
          <w:rFonts w:ascii="Cambria" w:hAnsi="Cambria" w:cs="Times New Roman"/>
          <w:bCs/>
          <w:sz w:val="22"/>
          <w:szCs w:val="22"/>
          <w:lang w:val="pt-BR"/>
        </w:rPr>
        <w:t>Finda a instrução, os acusados foram condenados às penas de 5 anos e 8 meses de reclusão, em regime inicial fechado, pela prática do crime de roubo majorado pelo concurso de agentes e pelo emprego de arma de fogo.</w:t>
      </w:r>
    </w:p>
    <w:p w14:paraId="04A256F3" w14:textId="77777777" w:rsidR="00BB1D18" w:rsidRPr="006D6F56" w:rsidRDefault="00BB1D18" w:rsidP="006D6F56">
      <w:pPr>
        <w:spacing w:line="360" w:lineRule="auto"/>
        <w:ind w:firstLine="1418"/>
        <w:jc w:val="both"/>
        <w:rPr>
          <w:rFonts w:ascii="Cambria" w:hAnsi="Cambria" w:cs="Times New Roman"/>
          <w:sz w:val="22"/>
          <w:szCs w:val="22"/>
          <w:lang w:val="pt-BR"/>
        </w:rPr>
      </w:pPr>
    </w:p>
    <w:p w14:paraId="2ACBC309" w14:textId="04832E23" w:rsidR="00BB1D18" w:rsidRPr="006D6F56" w:rsidRDefault="008346E7" w:rsidP="006D6F56">
      <w:pPr>
        <w:spacing w:line="360" w:lineRule="auto"/>
        <w:ind w:firstLine="1418"/>
        <w:jc w:val="both"/>
        <w:rPr>
          <w:rFonts w:ascii="Cambria" w:hAnsi="Cambria" w:cs="Times New Roman"/>
          <w:sz w:val="22"/>
          <w:szCs w:val="22"/>
          <w:lang w:val="pt-BR"/>
        </w:rPr>
      </w:pPr>
      <w:r w:rsidRPr="006D6F56">
        <w:rPr>
          <w:rFonts w:ascii="Cambria" w:hAnsi="Cambria" w:cs="Times New Roman"/>
          <w:sz w:val="22"/>
          <w:szCs w:val="22"/>
          <w:lang w:val="pt-BR"/>
        </w:rPr>
        <w:lastRenderedPageBreak/>
        <w:t xml:space="preserve">Grupo 1 – defesa: redija uma petição </w:t>
      </w:r>
      <w:r w:rsidR="00BB1D18" w:rsidRPr="006D6F56">
        <w:rPr>
          <w:rFonts w:ascii="Cambria" w:hAnsi="Cambria" w:cs="Times New Roman"/>
          <w:sz w:val="22"/>
          <w:szCs w:val="22"/>
          <w:lang w:val="pt-BR"/>
        </w:rPr>
        <w:t>postulando</w:t>
      </w:r>
      <w:r w:rsidR="006922B7">
        <w:rPr>
          <w:rFonts w:ascii="Cambria" w:hAnsi="Cambria" w:cs="Times New Roman"/>
          <w:sz w:val="22"/>
          <w:szCs w:val="22"/>
          <w:lang w:val="pt-BR"/>
        </w:rPr>
        <w:t xml:space="preserve"> a desconsideração do reconhecimento de K. por violação ao artigo 226 do Código de Processo Penal e sua consequente absolvição por falta de provas</w:t>
      </w:r>
      <w:r w:rsidR="00BB1D18" w:rsidRPr="006D6F56">
        <w:rPr>
          <w:rFonts w:ascii="Cambria" w:hAnsi="Cambria" w:cs="Times New Roman"/>
          <w:sz w:val="22"/>
          <w:szCs w:val="22"/>
          <w:lang w:val="pt-BR"/>
        </w:rPr>
        <w:t>.</w:t>
      </w:r>
    </w:p>
    <w:p w14:paraId="127E5B0B" w14:textId="20A33E34" w:rsidR="00AB6B29" w:rsidRPr="006D6F56" w:rsidRDefault="008346E7" w:rsidP="006D6F56">
      <w:pPr>
        <w:spacing w:line="360" w:lineRule="auto"/>
        <w:ind w:firstLine="1418"/>
        <w:jc w:val="both"/>
        <w:rPr>
          <w:rFonts w:ascii="Cambria" w:hAnsi="Cambria" w:cs="Times New Roman"/>
          <w:sz w:val="22"/>
          <w:szCs w:val="22"/>
          <w:lang w:val="pt-BR"/>
        </w:rPr>
      </w:pPr>
      <w:r w:rsidRPr="006D6F56">
        <w:rPr>
          <w:rFonts w:ascii="Cambria" w:hAnsi="Cambria" w:cs="Times New Roman"/>
          <w:sz w:val="22"/>
          <w:szCs w:val="22"/>
          <w:lang w:val="pt-BR"/>
        </w:rPr>
        <w:t xml:space="preserve">Grupo 2 – Ministério Público: redija uma manifestação contrária à </w:t>
      </w:r>
      <w:r w:rsidR="00AB6B29" w:rsidRPr="006D6F56">
        <w:rPr>
          <w:rFonts w:ascii="Cambria" w:hAnsi="Cambria" w:cs="Times New Roman"/>
          <w:sz w:val="22"/>
          <w:szCs w:val="22"/>
          <w:lang w:val="pt-BR"/>
        </w:rPr>
        <w:t xml:space="preserve">petição defensiva, </w:t>
      </w:r>
      <w:r w:rsidR="009F7E76" w:rsidRPr="006D6F56">
        <w:rPr>
          <w:rFonts w:ascii="Cambria" w:hAnsi="Cambria" w:cs="Times New Roman"/>
          <w:sz w:val="22"/>
          <w:szCs w:val="22"/>
          <w:lang w:val="pt-BR"/>
        </w:rPr>
        <w:t xml:space="preserve">sustentando </w:t>
      </w:r>
      <w:r w:rsidR="00451169" w:rsidRPr="006D6F56">
        <w:rPr>
          <w:rFonts w:ascii="Cambria" w:hAnsi="Cambria" w:cs="Times New Roman"/>
          <w:sz w:val="22"/>
          <w:szCs w:val="22"/>
          <w:lang w:val="pt-BR"/>
        </w:rPr>
        <w:t xml:space="preserve">a </w:t>
      </w:r>
      <w:r w:rsidR="00D41B60" w:rsidRPr="006D6F56">
        <w:rPr>
          <w:rFonts w:ascii="Cambria" w:hAnsi="Cambria" w:cs="Times New Roman"/>
          <w:sz w:val="22"/>
          <w:szCs w:val="22"/>
          <w:lang w:val="pt-BR"/>
        </w:rPr>
        <w:t xml:space="preserve">legitimidade </w:t>
      </w:r>
      <w:r w:rsidR="006922B7">
        <w:rPr>
          <w:rFonts w:ascii="Cambria" w:hAnsi="Cambria" w:cs="Times New Roman"/>
          <w:sz w:val="22"/>
          <w:szCs w:val="22"/>
          <w:lang w:val="pt-BR"/>
        </w:rPr>
        <w:t>do reconhecimento, ratificado pela vítima em juízo</w:t>
      </w:r>
      <w:r w:rsidR="00D41B60" w:rsidRPr="006D6F56">
        <w:rPr>
          <w:rFonts w:ascii="Cambria" w:hAnsi="Cambria" w:cs="Times New Roman"/>
          <w:sz w:val="22"/>
          <w:szCs w:val="22"/>
          <w:lang w:val="pt-BR"/>
        </w:rPr>
        <w:t>.</w:t>
      </w:r>
    </w:p>
    <w:p w14:paraId="28521325" w14:textId="77C63BA1" w:rsidR="00527CC2" w:rsidRDefault="00527CC2">
      <w:pPr>
        <w:spacing w:after="160" w:line="259" w:lineRule="auto"/>
        <w:rPr>
          <w:rFonts w:ascii="Cambria" w:hAnsi="Cambria" w:cs="Times New Roman"/>
          <w:b/>
          <w:sz w:val="22"/>
          <w:szCs w:val="22"/>
          <w:lang w:val="pt-BR"/>
        </w:rPr>
      </w:pPr>
      <w:r>
        <w:rPr>
          <w:rFonts w:ascii="Cambria" w:hAnsi="Cambria" w:cs="Times New Roman"/>
          <w:b/>
          <w:sz w:val="22"/>
          <w:szCs w:val="22"/>
          <w:lang w:val="pt-BR"/>
        </w:rPr>
        <w:br w:type="page"/>
      </w:r>
    </w:p>
    <w:p w14:paraId="2E2B5B28" w14:textId="77777777" w:rsidR="008346E7" w:rsidRPr="006D6F56" w:rsidRDefault="008346E7" w:rsidP="006D6F56">
      <w:pPr>
        <w:spacing w:line="360" w:lineRule="auto"/>
        <w:jc w:val="both"/>
        <w:rPr>
          <w:rFonts w:ascii="Cambria" w:hAnsi="Cambria" w:cs="Times New Roman"/>
          <w:b/>
          <w:sz w:val="22"/>
          <w:szCs w:val="22"/>
          <w:lang w:val="pt-BR"/>
        </w:rPr>
      </w:pPr>
      <w:r w:rsidRPr="006D6F56">
        <w:rPr>
          <w:rFonts w:ascii="Cambria" w:hAnsi="Cambria" w:cs="Times New Roman"/>
          <w:b/>
          <w:sz w:val="22"/>
          <w:szCs w:val="22"/>
          <w:lang w:val="pt-BR"/>
        </w:rPr>
        <w:lastRenderedPageBreak/>
        <w:t>. Caso 02</w:t>
      </w:r>
    </w:p>
    <w:p w14:paraId="5054C9B3" w14:textId="26CE2EE0" w:rsidR="008346E7" w:rsidRPr="006D6F56" w:rsidRDefault="008346E7" w:rsidP="006D6F56">
      <w:pPr>
        <w:spacing w:line="360" w:lineRule="auto"/>
        <w:jc w:val="both"/>
        <w:rPr>
          <w:rFonts w:ascii="Cambria" w:hAnsi="Cambria" w:cs="Times New Roman"/>
          <w:bCs/>
          <w:sz w:val="22"/>
          <w:szCs w:val="22"/>
          <w:lang w:val="pt-BR"/>
        </w:rPr>
      </w:pPr>
      <w:r w:rsidRPr="006D6F56">
        <w:rPr>
          <w:rFonts w:ascii="Cambria" w:hAnsi="Cambria" w:cs="Times New Roman"/>
          <w:bCs/>
          <w:sz w:val="22"/>
          <w:szCs w:val="22"/>
          <w:lang w:val="pt-BR"/>
        </w:rPr>
        <w:t>Subtema:</w:t>
      </w:r>
      <w:r w:rsidR="00E341BB" w:rsidRPr="006D6F56">
        <w:rPr>
          <w:rFonts w:ascii="Cambria" w:hAnsi="Cambria" w:cs="Times New Roman"/>
          <w:bCs/>
          <w:sz w:val="22"/>
          <w:szCs w:val="22"/>
          <w:lang w:val="pt-BR"/>
        </w:rPr>
        <w:t xml:space="preserve"> </w:t>
      </w:r>
      <w:r w:rsidR="000E5E21">
        <w:rPr>
          <w:rFonts w:ascii="Cambria" w:hAnsi="Cambria" w:cs="Times New Roman"/>
          <w:bCs/>
          <w:sz w:val="22"/>
          <w:szCs w:val="22"/>
          <w:lang w:val="pt-BR"/>
        </w:rPr>
        <w:t>a inviolabilidade do domicílio e a situação de flagrante delito</w:t>
      </w:r>
    </w:p>
    <w:p w14:paraId="5FCAAC65" w14:textId="77777777" w:rsidR="008346E7" w:rsidRPr="006D6F56" w:rsidRDefault="008346E7" w:rsidP="006D6F56">
      <w:pPr>
        <w:spacing w:line="360" w:lineRule="auto"/>
        <w:jc w:val="both"/>
        <w:rPr>
          <w:rFonts w:ascii="Cambria" w:hAnsi="Cambria" w:cs="Times New Roman"/>
          <w:bCs/>
          <w:sz w:val="22"/>
          <w:szCs w:val="22"/>
          <w:lang w:val="pt-BR"/>
        </w:rPr>
      </w:pPr>
    </w:p>
    <w:p w14:paraId="7699CFBE" w14:textId="4DDDCFCC" w:rsidR="00762571" w:rsidRDefault="00762571" w:rsidP="006D6F56">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C. cortava batatas na pia em frente à janela da cozinha quando viu seu ex-marido R. pular o muro de sua residência com uma peixeira nas mãos.</w:t>
      </w:r>
      <w:r w:rsidR="00527CC2">
        <w:rPr>
          <w:rFonts w:ascii="Cambria" w:hAnsi="Cambria" w:cs="Times New Roman"/>
          <w:bCs/>
          <w:sz w:val="22"/>
          <w:szCs w:val="22"/>
          <w:lang w:val="pt-BR"/>
        </w:rPr>
        <w:t xml:space="preserve"> </w:t>
      </w:r>
      <w:r>
        <w:rPr>
          <w:rFonts w:ascii="Cambria" w:hAnsi="Cambria" w:cs="Times New Roman"/>
          <w:bCs/>
          <w:sz w:val="22"/>
          <w:szCs w:val="22"/>
          <w:lang w:val="pt-BR"/>
        </w:rPr>
        <w:t>Neste instante, C., que estava sozinha, pegou o seu celular e se trancou no banheiro.</w:t>
      </w:r>
      <w:r w:rsidR="00527CC2">
        <w:rPr>
          <w:rFonts w:ascii="Cambria" w:hAnsi="Cambria" w:cs="Times New Roman"/>
          <w:bCs/>
          <w:sz w:val="22"/>
          <w:szCs w:val="22"/>
          <w:lang w:val="pt-BR"/>
        </w:rPr>
        <w:t xml:space="preserve"> </w:t>
      </w:r>
      <w:r>
        <w:rPr>
          <w:rFonts w:ascii="Cambria" w:hAnsi="Cambria" w:cs="Times New Roman"/>
          <w:bCs/>
          <w:sz w:val="22"/>
          <w:szCs w:val="22"/>
          <w:lang w:val="pt-BR"/>
        </w:rPr>
        <w:t>Enquanto ele a ameaçava, inconformado com o término do relacionamento, C. disse que havia chamado a polícia e que, se ele não fosse embora, passaria muitos anos na cadeia, pois estava em livramento condicional.</w:t>
      </w:r>
      <w:r w:rsidR="00527CC2">
        <w:rPr>
          <w:rFonts w:ascii="Cambria" w:hAnsi="Cambria" w:cs="Times New Roman"/>
          <w:bCs/>
          <w:sz w:val="22"/>
          <w:szCs w:val="22"/>
          <w:lang w:val="pt-BR"/>
        </w:rPr>
        <w:t xml:space="preserve"> </w:t>
      </w:r>
      <w:r>
        <w:rPr>
          <w:rFonts w:ascii="Cambria" w:hAnsi="Cambria" w:cs="Times New Roman"/>
          <w:bCs/>
          <w:sz w:val="22"/>
          <w:szCs w:val="22"/>
          <w:lang w:val="pt-BR"/>
        </w:rPr>
        <w:t>Ao ouvir a aproximação da viatura, R. pulou o muro e correu até a sua casa, que ficava a cinquenta metros da casa de C.</w:t>
      </w:r>
      <w:r w:rsidR="00527CC2">
        <w:rPr>
          <w:rFonts w:ascii="Cambria" w:hAnsi="Cambria" w:cs="Times New Roman"/>
          <w:bCs/>
          <w:sz w:val="22"/>
          <w:szCs w:val="22"/>
          <w:lang w:val="pt-BR"/>
        </w:rPr>
        <w:t xml:space="preserve"> </w:t>
      </w:r>
      <w:r>
        <w:rPr>
          <w:rFonts w:ascii="Cambria" w:hAnsi="Cambria" w:cs="Times New Roman"/>
          <w:bCs/>
          <w:sz w:val="22"/>
          <w:szCs w:val="22"/>
          <w:lang w:val="pt-BR"/>
        </w:rPr>
        <w:t>Os policiais militares, que já conheciam R. pela prática de tráfico de drogas, viram-no entrar pelo portão de sua residência e o perseguiram, mas não o encontraram.</w:t>
      </w:r>
      <w:r w:rsidR="00527CC2">
        <w:rPr>
          <w:rFonts w:ascii="Cambria" w:hAnsi="Cambria" w:cs="Times New Roman"/>
          <w:bCs/>
          <w:sz w:val="22"/>
          <w:szCs w:val="22"/>
          <w:lang w:val="pt-BR"/>
        </w:rPr>
        <w:t xml:space="preserve"> </w:t>
      </w:r>
      <w:r w:rsidR="002A53D6">
        <w:rPr>
          <w:rFonts w:ascii="Cambria" w:hAnsi="Cambria" w:cs="Times New Roman"/>
          <w:bCs/>
          <w:sz w:val="22"/>
          <w:szCs w:val="22"/>
          <w:lang w:val="pt-BR"/>
        </w:rPr>
        <w:t>Acompanhados de C., os policiais realizaram vistoria na residência de R. e encontraram, dentro do seu guarda-roupas, doze kg de maconha.</w:t>
      </w:r>
      <w:r w:rsidR="00527CC2">
        <w:rPr>
          <w:rFonts w:ascii="Cambria" w:hAnsi="Cambria" w:cs="Times New Roman"/>
          <w:bCs/>
          <w:sz w:val="22"/>
          <w:szCs w:val="22"/>
          <w:lang w:val="pt-BR"/>
        </w:rPr>
        <w:t xml:space="preserve"> </w:t>
      </w:r>
      <w:r w:rsidR="00676C7F">
        <w:rPr>
          <w:rFonts w:ascii="Cambria" w:hAnsi="Cambria" w:cs="Times New Roman"/>
          <w:bCs/>
          <w:sz w:val="22"/>
          <w:szCs w:val="22"/>
          <w:lang w:val="pt-BR"/>
        </w:rPr>
        <w:t>O Ministério Público ofereceu denúncia e, ao final do processo</w:t>
      </w:r>
      <w:bookmarkStart w:id="2" w:name="_GoBack"/>
      <w:bookmarkEnd w:id="2"/>
      <w:r w:rsidR="00676C7F">
        <w:rPr>
          <w:rFonts w:ascii="Cambria" w:hAnsi="Cambria" w:cs="Times New Roman"/>
          <w:bCs/>
          <w:sz w:val="22"/>
          <w:szCs w:val="22"/>
          <w:lang w:val="pt-BR"/>
        </w:rPr>
        <w:t xml:space="preserve">, </w:t>
      </w:r>
      <w:r w:rsidR="002A53D6">
        <w:rPr>
          <w:rFonts w:ascii="Cambria" w:hAnsi="Cambria" w:cs="Times New Roman"/>
          <w:bCs/>
          <w:sz w:val="22"/>
          <w:szCs w:val="22"/>
          <w:lang w:val="pt-BR"/>
        </w:rPr>
        <w:t>R., que exerceu seu direito constitucional ao silêncio em ambas as fases da persecução penal, foi condenado pela prática dos crimes de ameaça, violação de domicílio e tráfico de drogas.</w:t>
      </w:r>
    </w:p>
    <w:p w14:paraId="23C409C8" w14:textId="77777777" w:rsidR="0067174D" w:rsidRPr="006D6F56" w:rsidRDefault="0067174D" w:rsidP="006D6F56">
      <w:pPr>
        <w:spacing w:line="360" w:lineRule="auto"/>
        <w:ind w:firstLine="1418"/>
        <w:jc w:val="both"/>
        <w:rPr>
          <w:rFonts w:ascii="Cambria" w:hAnsi="Cambria" w:cs="Times New Roman"/>
          <w:bCs/>
          <w:sz w:val="22"/>
          <w:szCs w:val="22"/>
          <w:lang w:val="pt-BR"/>
        </w:rPr>
      </w:pPr>
    </w:p>
    <w:p w14:paraId="214F4623" w14:textId="6CFFCAE9" w:rsidR="00CC7B50" w:rsidRPr="006D6F56" w:rsidRDefault="00CC7B50" w:rsidP="006D6F56">
      <w:pPr>
        <w:spacing w:line="360" w:lineRule="auto"/>
        <w:ind w:firstLine="1418"/>
        <w:jc w:val="both"/>
        <w:rPr>
          <w:rFonts w:ascii="Cambria" w:hAnsi="Cambria" w:cs="Times New Roman"/>
          <w:bCs/>
          <w:sz w:val="22"/>
          <w:szCs w:val="22"/>
          <w:lang w:val="pt-BR"/>
        </w:rPr>
      </w:pPr>
      <w:r w:rsidRPr="006D6F56">
        <w:rPr>
          <w:rFonts w:ascii="Cambria" w:hAnsi="Cambria" w:cs="Times New Roman"/>
          <w:bCs/>
          <w:sz w:val="22"/>
          <w:szCs w:val="22"/>
          <w:lang w:val="pt-BR"/>
        </w:rPr>
        <w:t xml:space="preserve">Grupo 1 – </w:t>
      </w:r>
      <w:r w:rsidR="002A53D6">
        <w:rPr>
          <w:rFonts w:ascii="Cambria" w:hAnsi="Cambria" w:cs="Times New Roman"/>
          <w:bCs/>
          <w:sz w:val="22"/>
          <w:szCs w:val="22"/>
          <w:lang w:val="pt-BR"/>
        </w:rPr>
        <w:t>defesa</w:t>
      </w:r>
      <w:r w:rsidRPr="006D6F56">
        <w:rPr>
          <w:rFonts w:ascii="Cambria" w:hAnsi="Cambria" w:cs="Times New Roman"/>
          <w:bCs/>
          <w:sz w:val="22"/>
          <w:szCs w:val="22"/>
          <w:lang w:val="pt-BR"/>
        </w:rPr>
        <w:t xml:space="preserve">: </w:t>
      </w:r>
      <w:r w:rsidR="002A53D6">
        <w:rPr>
          <w:rFonts w:ascii="Cambria" w:hAnsi="Cambria" w:cs="Times New Roman"/>
          <w:bCs/>
          <w:sz w:val="22"/>
          <w:szCs w:val="22"/>
          <w:lang w:val="pt-BR"/>
        </w:rPr>
        <w:t>redija uma petição postulando o reconhecimento da nulidade da apreensão dos entorpecentes por desrespeito à garantia constitucional da inviolabilidade do domicílio, com a consequente absolvição de R. por não haver prova da existência do fato.</w:t>
      </w:r>
      <w:r w:rsidR="00527CC2">
        <w:rPr>
          <w:rFonts w:ascii="Cambria" w:hAnsi="Cambria" w:cs="Times New Roman"/>
          <w:bCs/>
          <w:sz w:val="22"/>
          <w:szCs w:val="22"/>
          <w:lang w:val="pt-BR"/>
        </w:rPr>
        <w:t xml:space="preserve"> </w:t>
      </w:r>
    </w:p>
    <w:p w14:paraId="2AC7A855" w14:textId="0B9C9B7D" w:rsidR="002A53D6" w:rsidRDefault="00CC7B50" w:rsidP="006D6F56">
      <w:pPr>
        <w:spacing w:line="360" w:lineRule="auto"/>
        <w:ind w:firstLine="1418"/>
        <w:jc w:val="both"/>
        <w:rPr>
          <w:rFonts w:ascii="Cambria" w:hAnsi="Cambria" w:cs="Times New Roman"/>
          <w:bCs/>
          <w:sz w:val="22"/>
          <w:szCs w:val="22"/>
          <w:lang w:val="pt-BR"/>
        </w:rPr>
      </w:pPr>
      <w:r w:rsidRPr="006D6F56">
        <w:rPr>
          <w:rFonts w:ascii="Cambria" w:hAnsi="Cambria" w:cs="Times New Roman"/>
          <w:bCs/>
          <w:sz w:val="22"/>
          <w:szCs w:val="22"/>
          <w:lang w:val="pt-BR"/>
        </w:rPr>
        <w:t xml:space="preserve">Grupo 2 – </w:t>
      </w:r>
      <w:r w:rsidR="002A53D6">
        <w:rPr>
          <w:rFonts w:ascii="Cambria" w:hAnsi="Cambria" w:cs="Times New Roman"/>
          <w:bCs/>
          <w:sz w:val="22"/>
          <w:szCs w:val="22"/>
          <w:lang w:val="pt-BR"/>
        </w:rPr>
        <w:t>Ministério Público</w:t>
      </w:r>
      <w:r w:rsidR="005F7A03" w:rsidRPr="006D6F56">
        <w:rPr>
          <w:rFonts w:ascii="Cambria" w:hAnsi="Cambria" w:cs="Times New Roman"/>
          <w:bCs/>
          <w:sz w:val="22"/>
          <w:szCs w:val="22"/>
          <w:lang w:val="pt-BR"/>
        </w:rPr>
        <w:t xml:space="preserve">: redija </w:t>
      </w:r>
      <w:r w:rsidR="002A53D6">
        <w:rPr>
          <w:rFonts w:ascii="Cambria" w:hAnsi="Cambria" w:cs="Times New Roman"/>
          <w:bCs/>
          <w:sz w:val="22"/>
          <w:szCs w:val="22"/>
          <w:lang w:val="pt-BR"/>
        </w:rPr>
        <w:t>uma manifestação contrária à petição defensiva, sustentando a legalidade da apreensão dos entorpecentes, tendo em vista a existência de situação de flagrante delito.</w:t>
      </w:r>
    </w:p>
    <w:p w14:paraId="56C3E629" w14:textId="2AF1D878" w:rsidR="00527CC2" w:rsidRDefault="00527CC2">
      <w:pPr>
        <w:spacing w:after="160" w:line="259" w:lineRule="auto"/>
        <w:rPr>
          <w:rFonts w:ascii="Cambria" w:hAnsi="Cambria" w:cs="Times New Roman"/>
          <w:bCs/>
          <w:sz w:val="22"/>
          <w:szCs w:val="22"/>
          <w:lang w:val="pt-BR"/>
        </w:rPr>
      </w:pPr>
      <w:r>
        <w:rPr>
          <w:rFonts w:ascii="Cambria" w:hAnsi="Cambria" w:cs="Times New Roman"/>
          <w:bCs/>
          <w:sz w:val="22"/>
          <w:szCs w:val="22"/>
          <w:lang w:val="pt-BR"/>
        </w:rPr>
        <w:br w:type="page"/>
      </w:r>
    </w:p>
    <w:p w14:paraId="668ED3B0" w14:textId="77777777" w:rsidR="00CC7B50" w:rsidRPr="006D6F56" w:rsidRDefault="00CC7B50" w:rsidP="006D6F56">
      <w:pPr>
        <w:spacing w:line="360" w:lineRule="auto"/>
        <w:jc w:val="both"/>
        <w:rPr>
          <w:rFonts w:ascii="Cambria" w:hAnsi="Cambria" w:cs="Times New Roman"/>
          <w:bCs/>
          <w:sz w:val="22"/>
          <w:szCs w:val="22"/>
          <w:lang w:val="pt-BR"/>
        </w:rPr>
      </w:pPr>
      <w:r w:rsidRPr="006D6F56">
        <w:rPr>
          <w:rFonts w:ascii="Cambria" w:hAnsi="Cambria" w:cs="Times New Roman"/>
          <w:b/>
          <w:sz w:val="22"/>
          <w:szCs w:val="22"/>
          <w:lang w:val="pt-BR"/>
        </w:rPr>
        <w:lastRenderedPageBreak/>
        <w:t>. Caso 03</w:t>
      </w:r>
    </w:p>
    <w:p w14:paraId="105BFF93" w14:textId="02ECAD52" w:rsidR="00CC7B50" w:rsidRDefault="00CC7B50" w:rsidP="006D6F56">
      <w:pPr>
        <w:spacing w:line="360" w:lineRule="auto"/>
        <w:jc w:val="both"/>
        <w:rPr>
          <w:rFonts w:ascii="Cambria" w:hAnsi="Cambria" w:cs="Times New Roman"/>
          <w:bCs/>
          <w:sz w:val="22"/>
          <w:szCs w:val="22"/>
          <w:lang w:val="pt-BR"/>
        </w:rPr>
      </w:pPr>
      <w:r w:rsidRPr="006D6F56">
        <w:rPr>
          <w:rFonts w:ascii="Cambria" w:hAnsi="Cambria" w:cs="Times New Roman"/>
          <w:bCs/>
          <w:sz w:val="22"/>
          <w:szCs w:val="22"/>
          <w:lang w:val="pt-BR"/>
        </w:rPr>
        <w:t xml:space="preserve">Subtema: </w:t>
      </w:r>
      <w:r w:rsidR="00A22ED0">
        <w:rPr>
          <w:rFonts w:ascii="Cambria" w:hAnsi="Cambria" w:cs="Times New Roman"/>
          <w:bCs/>
          <w:sz w:val="22"/>
          <w:szCs w:val="22"/>
          <w:lang w:val="pt-BR"/>
        </w:rPr>
        <w:t>acesso de dados armazenados no aparelho celular nos casos de prisão em flagrante delito</w:t>
      </w:r>
      <w:r w:rsidR="00FB5A84">
        <w:rPr>
          <w:rFonts w:ascii="Cambria" w:hAnsi="Cambria" w:cs="Times New Roman"/>
          <w:bCs/>
          <w:sz w:val="22"/>
          <w:szCs w:val="22"/>
          <w:lang w:val="pt-BR"/>
        </w:rPr>
        <w:t xml:space="preserve"> e provas ilícitas por derivação. </w:t>
      </w:r>
    </w:p>
    <w:p w14:paraId="4C9C6B3F" w14:textId="77777777" w:rsidR="00A22ED0" w:rsidRDefault="00A22ED0" w:rsidP="006D6F56">
      <w:pPr>
        <w:spacing w:line="360" w:lineRule="auto"/>
        <w:jc w:val="both"/>
        <w:rPr>
          <w:rFonts w:ascii="Cambria" w:hAnsi="Cambria" w:cs="Times New Roman"/>
          <w:bCs/>
          <w:sz w:val="22"/>
          <w:szCs w:val="22"/>
          <w:lang w:val="pt-BR"/>
        </w:rPr>
      </w:pPr>
    </w:p>
    <w:p w14:paraId="27E0B7BE" w14:textId="15A8D1D1" w:rsidR="00224EC0" w:rsidRDefault="00A22ED0" w:rsidP="00224EC0">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No último Carnaval, José foi convidado por João a vender </w:t>
      </w:r>
      <w:r w:rsidR="00224EC0">
        <w:rPr>
          <w:rFonts w:ascii="Cambria" w:hAnsi="Cambria" w:cs="Times New Roman"/>
          <w:bCs/>
          <w:sz w:val="22"/>
          <w:szCs w:val="22"/>
          <w:lang w:val="pt-BR"/>
        </w:rPr>
        <w:t>lança-perfume e outros entorpecentes</w:t>
      </w:r>
      <w:r>
        <w:rPr>
          <w:rFonts w:ascii="Cambria" w:hAnsi="Cambria" w:cs="Times New Roman"/>
          <w:bCs/>
          <w:sz w:val="22"/>
          <w:szCs w:val="22"/>
          <w:lang w:val="pt-BR"/>
        </w:rPr>
        <w:t xml:space="preserve"> nos bloquinhos do centro da cidade de São Paulo. João integrava uma associação criminosa para fins de tráfico de drogas da Zona Sul da Capital e conseguia</w:t>
      </w:r>
      <w:r w:rsidR="00224EC0">
        <w:rPr>
          <w:rFonts w:ascii="Cambria" w:hAnsi="Cambria" w:cs="Times New Roman"/>
          <w:bCs/>
          <w:sz w:val="22"/>
          <w:szCs w:val="22"/>
          <w:lang w:val="pt-BR"/>
        </w:rPr>
        <w:t xml:space="preserve"> adquirir facilmente os entorpecentes para distribuição nos blocos de Carnaval. Todos os sábados</w:t>
      </w:r>
      <w:r w:rsidR="00676C7F">
        <w:rPr>
          <w:rFonts w:ascii="Cambria" w:hAnsi="Cambria" w:cs="Times New Roman"/>
          <w:bCs/>
          <w:sz w:val="22"/>
          <w:szCs w:val="22"/>
          <w:lang w:val="pt-BR"/>
        </w:rPr>
        <w:t xml:space="preserve"> de fevereiro</w:t>
      </w:r>
      <w:r w:rsidR="00224EC0">
        <w:rPr>
          <w:rFonts w:ascii="Cambria" w:hAnsi="Cambria" w:cs="Times New Roman"/>
          <w:bCs/>
          <w:sz w:val="22"/>
          <w:szCs w:val="22"/>
          <w:lang w:val="pt-BR"/>
        </w:rPr>
        <w:t>, João buscava José na sua residência para irem juntos ao centro da cidade. José era responsável pela venda dos entorpecentes aos usuários enquanto João recolhia e guardava o dinheiro obtido com a comercialização ilícita das drogas.</w:t>
      </w:r>
    </w:p>
    <w:p w14:paraId="2C7FB6F4" w14:textId="7E81DE86" w:rsidR="00937E88" w:rsidRDefault="00224EC0" w:rsidP="00FB5A84">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Ocorre que, por meio de denúncia anônima, policiais do Departamento de Narcóticos da Policia Civil obtiveram a informação de que dois jovens praticavam tráfico de drogas nos blocos do centro da cidade de São Paulo. Assim, no sábado de Carnaval, ciente das características dos rapazes, uma equipe da Polícia Civil realizou diligências nos bloc</w:t>
      </w:r>
      <w:r w:rsidR="00FB5A84">
        <w:rPr>
          <w:rFonts w:ascii="Cambria" w:hAnsi="Cambria" w:cs="Times New Roman"/>
          <w:bCs/>
          <w:sz w:val="22"/>
          <w:szCs w:val="22"/>
          <w:lang w:val="pt-BR"/>
        </w:rPr>
        <w:t>os do centro da cidade a fim de encontr</w:t>
      </w:r>
      <w:r w:rsidR="00527CC2">
        <w:rPr>
          <w:rFonts w:ascii="Cambria" w:hAnsi="Cambria" w:cs="Times New Roman"/>
          <w:bCs/>
          <w:sz w:val="22"/>
          <w:szCs w:val="22"/>
          <w:lang w:val="pt-BR"/>
        </w:rPr>
        <w:t>á</w:t>
      </w:r>
      <w:r w:rsidR="00FB5A84">
        <w:rPr>
          <w:rFonts w:ascii="Cambria" w:hAnsi="Cambria" w:cs="Times New Roman"/>
          <w:bCs/>
          <w:sz w:val="22"/>
          <w:szCs w:val="22"/>
          <w:lang w:val="pt-BR"/>
        </w:rPr>
        <w:t xml:space="preserve">-los. No final do dia, no bloco “Casa comigo”, Roberto, policial experiente do Departamento de Narcóticos, </w:t>
      </w:r>
      <w:r w:rsidR="00527CC2">
        <w:rPr>
          <w:rFonts w:ascii="Cambria" w:hAnsi="Cambria" w:cs="Times New Roman"/>
          <w:bCs/>
          <w:sz w:val="22"/>
          <w:szCs w:val="22"/>
          <w:lang w:val="pt-BR"/>
        </w:rPr>
        <w:t xml:space="preserve">visualizou, </w:t>
      </w:r>
      <w:r w:rsidR="00FB5A84">
        <w:rPr>
          <w:rFonts w:ascii="Cambria" w:hAnsi="Cambria" w:cs="Times New Roman"/>
          <w:bCs/>
          <w:sz w:val="22"/>
          <w:szCs w:val="22"/>
          <w:lang w:val="pt-BR"/>
        </w:rPr>
        <w:t>na esquina da Avenida São João, um indivíduo entrega</w:t>
      </w:r>
      <w:r w:rsidR="00527CC2">
        <w:rPr>
          <w:rFonts w:ascii="Cambria" w:hAnsi="Cambria" w:cs="Times New Roman"/>
          <w:bCs/>
          <w:sz w:val="22"/>
          <w:szCs w:val="22"/>
          <w:lang w:val="pt-BR"/>
        </w:rPr>
        <w:t>ndo</w:t>
      </w:r>
      <w:r w:rsidR="00FB5A84">
        <w:rPr>
          <w:rFonts w:ascii="Cambria" w:hAnsi="Cambria" w:cs="Times New Roman"/>
          <w:bCs/>
          <w:sz w:val="22"/>
          <w:szCs w:val="22"/>
          <w:lang w:val="pt-BR"/>
        </w:rPr>
        <w:t xml:space="preserve"> uma certa quantia em dinheiro a outro. Imediatamente, Roberto realizou a abordagem dos indivíduos. Eram, de fato, os rapazes procurados pela Polícia Civil. Na posse de João, foi encontrada uma pochete com a quantia de R$ 84,00 em notas trocadas e um aparelho celular. Já na posse de José, foi encontrado apenas um baseado de maconha e um aparelho celular. </w:t>
      </w:r>
    </w:p>
    <w:p w14:paraId="1781996E" w14:textId="5742C944" w:rsidR="00FB5A84" w:rsidRDefault="00FB5A84" w:rsidP="00FB5A84">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Em razão da denúncia anônima, Roberto sabia que os jovens rapazes participavam de uma associação de tráfico de entorpecentes da região da Zona Sul. Assim, resolveu acessar os dados armazenados nos aparelhos celulares </w:t>
      </w:r>
      <w:r w:rsidR="00937E88">
        <w:rPr>
          <w:rFonts w:ascii="Cambria" w:hAnsi="Cambria" w:cs="Times New Roman"/>
          <w:bCs/>
          <w:sz w:val="22"/>
          <w:szCs w:val="22"/>
          <w:lang w:val="pt-BR"/>
        </w:rPr>
        <w:t xml:space="preserve">dos investigados. Solicitou, então, a senha dos telefones de cada um dos rapazes, o que foi negado pelos dois. Enquanto Roberto abordava os rapazes, chegou Ronaldo, um policial ainda inexperiente, que havia acabado de tomar posse na carreira. Ronaldo se indignou com a recusa dos rapazes em fornecerem as senhas de seus aparelhos. Assim, puxou a mão de cada um, à força, e colocou o dedo indicador dos rapazes no decodificador de impressão digital de cada um dos aparelhos celulares. Ronaldo, então, conseguiu acessar os dados armazenados nas redes sociais e nos demais arquivos dos celulares de cada um dos acusados. Descobriu, dessa forma, um grande esquema de tráfico de drogas </w:t>
      </w:r>
      <w:r w:rsidR="00527CC2">
        <w:rPr>
          <w:rFonts w:ascii="Cambria" w:hAnsi="Cambria" w:cs="Times New Roman"/>
          <w:bCs/>
          <w:sz w:val="22"/>
          <w:szCs w:val="22"/>
          <w:lang w:val="pt-BR"/>
        </w:rPr>
        <w:t xml:space="preserve">promovido </w:t>
      </w:r>
      <w:r w:rsidR="00937E88">
        <w:rPr>
          <w:rFonts w:ascii="Cambria" w:hAnsi="Cambria" w:cs="Times New Roman"/>
          <w:bCs/>
          <w:sz w:val="22"/>
          <w:szCs w:val="22"/>
          <w:lang w:val="pt-BR"/>
        </w:rPr>
        <w:t>pela associação na qual os investigados participavam</w:t>
      </w:r>
      <w:r w:rsidR="00527CC2">
        <w:rPr>
          <w:rFonts w:ascii="Cambria" w:hAnsi="Cambria" w:cs="Times New Roman"/>
          <w:bCs/>
          <w:sz w:val="22"/>
          <w:szCs w:val="22"/>
          <w:lang w:val="pt-BR"/>
        </w:rPr>
        <w:t>,</w:t>
      </w:r>
      <w:r w:rsidR="00937E88">
        <w:rPr>
          <w:rFonts w:ascii="Cambria" w:hAnsi="Cambria" w:cs="Times New Roman"/>
          <w:bCs/>
          <w:sz w:val="22"/>
          <w:szCs w:val="22"/>
          <w:lang w:val="pt-BR"/>
        </w:rPr>
        <w:t xml:space="preserve"> especialmente voltado ao Carnaval. </w:t>
      </w:r>
    </w:p>
    <w:p w14:paraId="3901181C" w14:textId="2AA26D33" w:rsidR="00937E88" w:rsidRDefault="00937E88" w:rsidP="00FB5A84">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Os elementos obtidos </w:t>
      </w:r>
      <w:r w:rsidR="00527CC2">
        <w:rPr>
          <w:rFonts w:ascii="Cambria" w:hAnsi="Cambria" w:cs="Times New Roman"/>
          <w:bCs/>
          <w:sz w:val="22"/>
          <w:szCs w:val="22"/>
          <w:lang w:val="pt-BR"/>
        </w:rPr>
        <w:t>n</w:t>
      </w:r>
      <w:r>
        <w:rPr>
          <w:rFonts w:ascii="Cambria" w:hAnsi="Cambria" w:cs="Times New Roman"/>
          <w:bCs/>
          <w:sz w:val="22"/>
          <w:szCs w:val="22"/>
          <w:lang w:val="pt-BR"/>
        </w:rPr>
        <w:t>os aparelhos celulares dos investigados foram levados em conside</w:t>
      </w:r>
      <w:r w:rsidR="002B1FCB">
        <w:rPr>
          <w:rFonts w:ascii="Cambria" w:hAnsi="Cambria" w:cs="Times New Roman"/>
          <w:bCs/>
          <w:sz w:val="22"/>
          <w:szCs w:val="22"/>
          <w:lang w:val="pt-BR"/>
        </w:rPr>
        <w:t xml:space="preserve">ração pela autoridade policial no seu relatório. O Ministério Público, </w:t>
      </w:r>
      <w:r w:rsidR="002B1FCB">
        <w:rPr>
          <w:rFonts w:ascii="Cambria" w:hAnsi="Cambria" w:cs="Times New Roman"/>
          <w:bCs/>
          <w:sz w:val="22"/>
          <w:szCs w:val="22"/>
          <w:lang w:val="pt-BR"/>
        </w:rPr>
        <w:lastRenderedPageBreak/>
        <w:t xml:space="preserve">então, ofereceu denúncia em face dos acusados pela prática dos delitos tipificados no art. 33 e 35 da Lei n/11.43/2006. Ao final da instrução, com base nos elementos coligidos aos autos, especialmente nos dados contidos nos aparelhos de telefone celular e no depoimento das testemunhas policiais, o MM. Juízo da Vara Criminal da Comarca de São Paulo condenou João e José às penas de 05 cinco anos de reclusão e pagamento de 500 dias-multa. </w:t>
      </w:r>
    </w:p>
    <w:p w14:paraId="7E55A8E2" w14:textId="77777777" w:rsidR="00A22ED0" w:rsidRDefault="00A22ED0" w:rsidP="006D6F56">
      <w:pPr>
        <w:spacing w:line="360" w:lineRule="auto"/>
        <w:jc w:val="both"/>
        <w:rPr>
          <w:rFonts w:ascii="Cambria" w:hAnsi="Cambria" w:cs="Times New Roman"/>
          <w:bCs/>
          <w:sz w:val="22"/>
          <w:szCs w:val="22"/>
          <w:lang w:val="pt-BR"/>
        </w:rPr>
      </w:pPr>
    </w:p>
    <w:p w14:paraId="7990A600" w14:textId="344402D6" w:rsidR="006D6F56" w:rsidRPr="006D6F56" w:rsidRDefault="006D6F56" w:rsidP="006D6F56">
      <w:pPr>
        <w:spacing w:line="360" w:lineRule="auto"/>
        <w:ind w:firstLine="1418"/>
        <w:jc w:val="both"/>
        <w:rPr>
          <w:rFonts w:ascii="Cambria" w:hAnsi="Cambria" w:cs="Times New Roman"/>
          <w:sz w:val="22"/>
          <w:szCs w:val="22"/>
          <w:lang w:val="pt-BR"/>
        </w:rPr>
      </w:pPr>
      <w:r w:rsidRPr="006D6F56">
        <w:rPr>
          <w:rFonts w:ascii="Cambria" w:hAnsi="Cambria" w:cs="Times New Roman"/>
          <w:sz w:val="22"/>
          <w:szCs w:val="22"/>
          <w:lang w:val="pt-BR"/>
        </w:rPr>
        <w:t>Grupo 1 – def</w:t>
      </w:r>
      <w:r w:rsidRPr="00430B4F">
        <w:rPr>
          <w:rFonts w:ascii="Cambria" w:hAnsi="Cambria" w:cs="Times New Roman"/>
          <w:sz w:val="22"/>
          <w:szCs w:val="22"/>
          <w:lang w:val="pt-BR"/>
        </w:rPr>
        <w:t xml:space="preserve">esa: </w:t>
      </w:r>
      <w:r w:rsidR="002B1FCB">
        <w:rPr>
          <w:rFonts w:ascii="Cambria" w:hAnsi="Cambria" w:cs="Times New Roman"/>
          <w:sz w:val="22"/>
          <w:szCs w:val="22"/>
          <w:lang w:val="pt-BR"/>
        </w:rPr>
        <w:t>interponha</w:t>
      </w:r>
      <w:r w:rsidR="00527CC2">
        <w:rPr>
          <w:rFonts w:ascii="Cambria" w:hAnsi="Cambria" w:cs="Times New Roman"/>
          <w:sz w:val="22"/>
          <w:szCs w:val="22"/>
          <w:lang w:val="pt-BR"/>
        </w:rPr>
        <w:t xml:space="preserve"> e arrazoe</w:t>
      </w:r>
      <w:r w:rsidR="002B1FCB">
        <w:rPr>
          <w:rFonts w:ascii="Cambria" w:hAnsi="Cambria" w:cs="Times New Roman"/>
          <w:sz w:val="22"/>
          <w:szCs w:val="22"/>
          <w:lang w:val="pt-BR"/>
        </w:rPr>
        <w:t xml:space="preserve"> um recurso de apelação, arguindo como preliminar</w:t>
      </w:r>
      <w:r w:rsidR="00DF664E">
        <w:rPr>
          <w:rFonts w:ascii="Cambria" w:hAnsi="Cambria" w:cs="Times New Roman"/>
          <w:sz w:val="22"/>
          <w:szCs w:val="22"/>
          <w:lang w:val="pt-BR"/>
        </w:rPr>
        <w:t xml:space="preserve"> a absolvição dos apelantes </w:t>
      </w:r>
      <w:r w:rsidR="00527CC2">
        <w:rPr>
          <w:rFonts w:ascii="Cambria" w:hAnsi="Cambria" w:cs="Times New Roman"/>
          <w:sz w:val="22"/>
          <w:szCs w:val="22"/>
          <w:lang w:val="pt-BR"/>
        </w:rPr>
        <w:t xml:space="preserve">por falta de provas </w:t>
      </w:r>
      <w:r w:rsidR="00DF664E">
        <w:rPr>
          <w:rFonts w:ascii="Cambria" w:hAnsi="Cambria" w:cs="Times New Roman"/>
          <w:sz w:val="22"/>
          <w:szCs w:val="22"/>
          <w:lang w:val="pt-BR"/>
        </w:rPr>
        <w:t>em razão da ilicitude probatória.</w:t>
      </w:r>
    </w:p>
    <w:p w14:paraId="3D3D5758" w14:textId="029E6B0A" w:rsidR="006D6F56" w:rsidRDefault="006D6F56" w:rsidP="006D6F56">
      <w:pPr>
        <w:spacing w:line="360" w:lineRule="auto"/>
        <w:ind w:firstLine="1418"/>
        <w:jc w:val="both"/>
        <w:rPr>
          <w:rFonts w:ascii="Cambria" w:hAnsi="Cambria" w:cs="Times New Roman"/>
          <w:sz w:val="22"/>
          <w:szCs w:val="22"/>
          <w:lang w:val="pt-BR"/>
        </w:rPr>
      </w:pPr>
      <w:r w:rsidRPr="00430B4F">
        <w:rPr>
          <w:rFonts w:ascii="Cambria" w:hAnsi="Cambria" w:cs="Times New Roman"/>
          <w:sz w:val="22"/>
          <w:szCs w:val="22"/>
          <w:lang w:val="pt-BR"/>
        </w:rPr>
        <w:t xml:space="preserve">Grupo 2 – </w:t>
      </w:r>
      <w:r w:rsidR="002A53D6">
        <w:rPr>
          <w:rFonts w:ascii="Cambria" w:hAnsi="Cambria" w:cs="Times New Roman"/>
          <w:sz w:val="22"/>
          <w:szCs w:val="22"/>
          <w:lang w:val="pt-BR"/>
        </w:rPr>
        <w:t xml:space="preserve">Ministério Público: </w:t>
      </w:r>
      <w:r w:rsidR="00DF664E">
        <w:rPr>
          <w:rFonts w:ascii="Cambria" w:hAnsi="Cambria" w:cs="Times New Roman"/>
          <w:sz w:val="22"/>
          <w:szCs w:val="22"/>
          <w:lang w:val="pt-BR"/>
        </w:rPr>
        <w:t xml:space="preserve">em sede de contrarrazões, impugne a preliminar arguida pela defesa, sustentando a prevalência do direito à segurança pública sobre o sigilo de dados armazenados nos aparelhos celulares dos acusados. </w:t>
      </w:r>
    </w:p>
    <w:p w14:paraId="4120BAA4" w14:textId="3B61042C" w:rsidR="00527CC2" w:rsidRDefault="00527CC2">
      <w:pPr>
        <w:spacing w:after="160" w:line="259" w:lineRule="auto"/>
        <w:rPr>
          <w:rFonts w:ascii="Cambria" w:hAnsi="Cambria" w:cs="Times New Roman"/>
          <w:sz w:val="22"/>
          <w:szCs w:val="22"/>
          <w:lang w:val="pt-BR"/>
        </w:rPr>
      </w:pPr>
      <w:r>
        <w:rPr>
          <w:rFonts w:ascii="Cambria" w:hAnsi="Cambria" w:cs="Times New Roman"/>
          <w:sz w:val="22"/>
          <w:szCs w:val="22"/>
          <w:lang w:val="pt-BR"/>
        </w:rPr>
        <w:br w:type="page"/>
      </w:r>
    </w:p>
    <w:p w14:paraId="18CEF87D" w14:textId="77777777" w:rsidR="00CC7B50" w:rsidRPr="006D6F56" w:rsidRDefault="00CC7B50" w:rsidP="006D6F56">
      <w:pPr>
        <w:spacing w:line="360" w:lineRule="auto"/>
        <w:jc w:val="both"/>
        <w:rPr>
          <w:rFonts w:ascii="Cambria" w:hAnsi="Cambria" w:cs="Times New Roman"/>
          <w:bCs/>
          <w:sz w:val="22"/>
          <w:szCs w:val="22"/>
          <w:lang w:val="pt-BR"/>
        </w:rPr>
      </w:pPr>
      <w:r w:rsidRPr="006D6F56">
        <w:rPr>
          <w:rFonts w:ascii="Cambria" w:hAnsi="Cambria" w:cs="Times New Roman"/>
          <w:b/>
          <w:sz w:val="22"/>
          <w:szCs w:val="22"/>
          <w:lang w:val="pt-BR"/>
        </w:rPr>
        <w:lastRenderedPageBreak/>
        <w:t>. Caso 04</w:t>
      </w:r>
    </w:p>
    <w:p w14:paraId="571F853D" w14:textId="4A8260C1" w:rsidR="00CC7B50" w:rsidRDefault="00CC7B50" w:rsidP="006D6F56">
      <w:pPr>
        <w:spacing w:line="360" w:lineRule="auto"/>
        <w:jc w:val="both"/>
        <w:rPr>
          <w:rFonts w:ascii="Cambria" w:hAnsi="Cambria" w:cs="Times New Roman"/>
          <w:bCs/>
          <w:sz w:val="22"/>
          <w:szCs w:val="22"/>
          <w:lang w:val="pt-BR"/>
        </w:rPr>
      </w:pPr>
      <w:r w:rsidRPr="006D6F56">
        <w:rPr>
          <w:rFonts w:ascii="Cambria" w:hAnsi="Cambria" w:cs="Times New Roman"/>
          <w:bCs/>
          <w:sz w:val="22"/>
          <w:szCs w:val="22"/>
          <w:lang w:val="pt-BR"/>
        </w:rPr>
        <w:t xml:space="preserve">Subtema: </w:t>
      </w:r>
      <w:r w:rsidR="00E5430D">
        <w:rPr>
          <w:rFonts w:ascii="Cambria" w:hAnsi="Cambria" w:cs="Times New Roman"/>
          <w:bCs/>
          <w:sz w:val="22"/>
          <w:szCs w:val="22"/>
          <w:lang w:val="pt-BR"/>
        </w:rPr>
        <w:t xml:space="preserve">sigilo bancário e </w:t>
      </w:r>
      <w:r w:rsidR="00A22ED0">
        <w:rPr>
          <w:rFonts w:ascii="Cambria" w:hAnsi="Cambria" w:cs="Times New Roman"/>
          <w:bCs/>
          <w:sz w:val="22"/>
          <w:szCs w:val="22"/>
          <w:lang w:val="pt-BR"/>
        </w:rPr>
        <w:t>exceção à prova ilícita por derivação</w:t>
      </w:r>
      <w:r w:rsidR="00E5430D">
        <w:rPr>
          <w:rFonts w:ascii="Cambria" w:hAnsi="Cambria" w:cs="Times New Roman"/>
          <w:bCs/>
          <w:sz w:val="22"/>
          <w:szCs w:val="22"/>
          <w:lang w:val="pt-BR"/>
        </w:rPr>
        <w:t xml:space="preserve"> </w:t>
      </w:r>
    </w:p>
    <w:p w14:paraId="4DA7B231" w14:textId="302DA642" w:rsidR="006D6F56" w:rsidRDefault="00DF664E" w:rsidP="00E5430D">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Em janeiro deste ano, Filomena nos deixou. Era uma pessoa muito boa, </w:t>
      </w:r>
      <w:r w:rsidR="000D1D73">
        <w:rPr>
          <w:rFonts w:ascii="Cambria" w:hAnsi="Cambria" w:cs="Times New Roman"/>
          <w:bCs/>
          <w:sz w:val="22"/>
          <w:szCs w:val="22"/>
          <w:lang w:val="pt-BR"/>
        </w:rPr>
        <w:t>líder comunitária no seu bairro, localizado na Zona Norte de São Paulo. No dia seguinte ao seu falecimento, Carlos, único herde</w:t>
      </w:r>
      <w:r w:rsidR="00E5430D">
        <w:rPr>
          <w:rFonts w:ascii="Cambria" w:hAnsi="Cambria" w:cs="Times New Roman"/>
          <w:bCs/>
          <w:sz w:val="22"/>
          <w:szCs w:val="22"/>
          <w:lang w:val="pt-BR"/>
        </w:rPr>
        <w:t>iro de Filomena</w:t>
      </w:r>
      <w:r w:rsidR="000D1D73">
        <w:rPr>
          <w:rFonts w:ascii="Cambria" w:hAnsi="Cambria" w:cs="Times New Roman"/>
          <w:bCs/>
          <w:sz w:val="22"/>
          <w:szCs w:val="22"/>
          <w:lang w:val="pt-BR"/>
        </w:rPr>
        <w:t xml:space="preserve">, resolveu dirigir-se ao Banco do Brasil a fim de averiguar o saldo da conta da sua tia. </w:t>
      </w:r>
      <w:r w:rsidR="00527CC2">
        <w:rPr>
          <w:rFonts w:ascii="Cambria" w:hAnsi="Cambria" w:cs="Times New Roman"/>
          <w:bCs/>
          <w:sz w:val="22"/>
          <w:szCs w:val="22"/>
          <w:lang w:val="pt-BR"/>
        </w:rPr>
        <w:t>A</w:t>
      </w:r>
      <w:r w:rsidR="000D1D73">
        <w:rPr>
          <w:rFonts w:ascii="Cambria" w:hAnsi="Cambria" w:cs="Times New Roman"/>
          <w:bCs/>
          <w:sz w:val="22"/>
          <w:szCs w:val="22"/>
          <w:lang w:val="pt-BR"/>
        </w:rPr>
        <w:t xml:space="preserve">o analisar o extrato bancário, </w:t>
      </w:r>
      <w:r w:rsidR="00E5430D">
        <w:rPr>
          <w:rFonts w:ascii="Cambria" w:hAnsi="Cambria" w:cs="Times New Roman"/>
          <w:bCs/>
          <w:sz w:val="22"/>
          <w:szCs w:val="22"/>
          <w:lang w:val="pt-BR"/>
        </w:rPr>
        <w:t xml:space="preserve">fornecido pelo gerente da conta de sua tia, </w:t>
      </w:r>
      <w:r w:rsidR="000D1D73">
        <w:rPr>
          <w:rFonts w:ascii="Cambria" w:hAnsi="Cambria" w:cs="Times New Roman"/>
          <w:bCs/>
          <w:sz w:val="22"/>
          <w:szCs w:val="22"/>
          <w:lang w:val="pt-BR"/>
        </w:rPr>
        <w:t xml:space="preserve">notou diversas transferências da conta de sua tia para conta de sua cuidadora, Marie. </w:t>
      </w:r>
      <w:r w:rsidR="0088553A">
        <w:rPr>
          <w:rFonts w:ascii="Cambria" w:hAnsi="Cambria" w:cs="Times New Roman"/>
          <w:bCs/>
          <w:sz w:val="22"/>
          <w:szCs w:val="22"/>
          <w:lang w:val="pt-BR"/>
        </w:rPr>
        <w:t xml:space="preserve">Carlos, então, descobriu que todos os meses, Marie transferia boa parte do valor da aposentadoria de Marie à sua própria conta. </w:t>
      </w:r>
    </w:p>
    <w:p w14:paraId="11A3E283" w14:textId="076054FB" w:rsidR="00E5430D" w:rsidRDefault="00E5430D" w:rsidP="00E5430D">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 xml:space="preserve">Carlos, então, dirigiu-se até a Delegacia de seu bairro, onde relatou os fatos à autoridade policial. O Delegado de Polícia, então, </w:t>
      </w:r>
      <w:r w:rsidR="00676C7F">
        <w:rPr>
          <w:rFonts w:ascii="Cambria" w:hAnsi="Cambria" w:cs="Times New Roman"/>
          <w:bCs/>
          <w:sz w:val="22"/>
          <w:szCs w:val="22"/>
          <w:lang w:val="pt-BR"/>
        </w:rPr>
        <w:t xml:space="preserve">intimou </w:t>
      </w:r>
      <w:r>
        <w:rPr>
          <w:rFonts w:ascii="Cambria" w:hAnsi="Cambria" w:cs="Times New Roman"/>
          <w:bCs/>
          <w:sz w:val="22"/>
          <w:szCs w:val="22"/>
          <w:lang w:val="pt-BR"/>
        </w:rPr>
        <w:t xml:space="preserve">Marie </w:t>
      </w:r>
      <w:r w:rsidR="00676C7F">
        <w:rPr>
          <w:rFonts w:ascii="Cambria" w:hAnsi="Cambria" w:cs="Times New Roman"/>
          <w:bCs/>
          <w:sz w:val="22"/>
          <w:szCs w:val="22"/>
          <w:lang w:val="pt-BR"/>
        </w:rPr>
        <w:t xml:space="preserve">para que prestasse suas </w:t>
      </w:r>
      <w:r>
        <w:rPr>
          <w:rFonts w:ascii="Cambria" w:hAnsi="Cambria" w:cs="Times New Roman"/>
          <w:bCs/>
          <w:sz w:val="22"/>
          <w:szCs w:val="22"/>
          <w:lang w:val="pt-BR"/>
        </w:rPr>
        <w:t xml:space="preserve">declarações. </w:t>
      </w:r>
      <w:r w:rsidR="00676C7F">
        <w:rPr>
          <w:rFonts w:ascii="Cambria" w:hAnsi="Cambria" w:cs="Times New Roman"/>
          <w:bCs/>
          <w:sz w:val="22"/>
          <w:szCs w:val="22"/>
          <w:lang w:val="pt-BR"/>
        </w:rPr>
        <w:t xml:space="preserve">Na delegacia, Marie </w:t>
      </w:r>
      <w:r>
        <w:rPr>
          <w:rFonts w:ascii="Cambria" w:hAnsi="Cambria" w:cs="Times New Roman"/>
          <w:bCs/>
          <w:sz w:val="22"/>
          <w:szCs w:val="22"/>
          <w:lang w:val="pt-BR"/>
        </w:rPr>
        <w:t>confessou os fatos</w:t>
      </w:r>
      <w:r w:rsidR="00676C7F">
        <w:rPr>
          <w:rFonts w:ascii="Cambria" w:hAnsi="Cambria" w:cs="Times New Roman"/>
          <w:bCs/>
          <w:sz w:val="22"/>
          <w:szCs w:val="22"/>
          <w:lang w:val="pt-BR"/>
        </w:rPr>
        <w:t xml:space="preserve">, </w:t>
      </w:r>
      <w:r>
        <w:rPr>
          <w:rFonts w:ascii="Cambria" w:hAnsi="Cambria" w:cs="Times New Roman"/>
          <w:bCs/>
          <w:sz w:val="22"/>
          <w:szCs w:val="22"/>
          <w:lang w:val="pt-BR"/>
        </w:rPr>
        <w:t xml:space="preserve">pagou fiança e foi liberada. </w:t>
      </w:r>
    </w:p>
    <w:p w14:paraId="76D11FF7" w14:textId="624FF5A3" w:rsidR="00E5430D" w:rsidRDefault="00E5430D" w:rsidP="00E5430D">
      <w:pPr>
        <w:spacing w:line="360" w:lineRule="auto"/>
        <w:ind w:firstLine="1418"/>
        <w:jc w:val="both"/>
        <w:rPr>
          <w:rFonts w:ascii="Cambria" w:hAnsi="Cambria" w:cs="Times New Roman"/>
          <w:bCs/>
          <w:sz w:val="22"/>
          <w:szCs w:val="22"/>
          <w:lang w:val="pt-BR"/>
        </w:rPr>
      </w:pPr>
      <w:r>
        <w:rPr>
          <w:rFonts w:ascii="Cambria" w:hAnsi="Cambria" w:cs="Times New Roman"/>
          <w:bCs/>
          <w:sz w:val="22"/>
          <w:szCs w:val="22"/>
          <w:lang w:val="pt-BR"/>
        </w:rPr>
        <w:t>Durante a fase inquisitorial, averiguou-se que Marie subtraiu o total de R$ 50.000,00 da conta de Filomena. Assim, foi denunciada pela prática do delito de furto mediante fraude em continuidade delitiva. Ao final da persecução penal, o MM. Juízo da Vara Criminal da Comarca da Capital condenou Marie à pena de 02 (dois) anos e 04 (quatro) meses de reclusão, no regime inicial aberto e pagamento de 12 (doze) dias-multa, no valor mínimo unitário legal, como incursa no delito previsto no art. 155, §2º, inciso II, do Código Penal.</w:t>
      </w:r>
      <w:r w:rsidR="00527CC2">
        <w:rPr>
          <w:rFonts w:ascii="Cambria" w:hAnsi="Cambria" w:cs="Times New Roman"/>
          <w:bCs/>
          <w:sz w:val="22"/>
          <w:szCs w:val="22"/>
          <w:lang w:val="pt-BR"/>
        </w:rPr>
        <w:t xml:space="preserve"> </w:t>
      </w:r>
    </w:p>
    <w:p w14:paraId="185A785F" w14:textId="77777777" w:rsidR="00DF664E" w:rsidRDefault="00DF664E" w:rsidP="006D6F56">
      <w:pPr>
        <w:spacing w:line="360" w:lineRule="auto"/>
        <w:jc w:val="both"/>
        <w:rPr>
          <w:rFonts w:ascii="Cambria" w:hAnsi="Cambria" w:cs="Times New Roman"/>
          <w:bCs/>
          <w:sz w:val="22"/>
          <w:szCs w:val="22"/>
          <w:lang w:val="pt-BR"/>
        </w:rPr>
      </w:pPr>
    </w:p>
    <w:p w14:paraId="4A33F156" w14:textId="77777777" w:rsidR="00354F25" w:rsidRPr="006D6F56" w:rsidRDefault="00354F25" w:rsidP="006D6F56">
      <w:pPr>
        <w:spacing w:line="360" w:lineRule="auto"/>
        <w:ind w:firstLine="1418"/>
        <w:jc w:val="both"/>
        <w:rPr>
          <w:rFonts w:ascii="Cambria" w:hAnsi="Cambria" w:cs="Times New Roman"/>
          <w:sz w:val="22"/>
          <w:szCs w:val="22"/>
          <w:lang w:val="pt-BR"/>
        </w:rPr>
      </w:pPr>
    </w:p>
    <w:p w14:paraId="33B651A6" w14:textId="03EBB157" w:rsidR="006846A6" w:rsidRPr="006D6F56" w:rsidRDefault="006846A6" w:rsidP="006D6F56">
      <w:pPr>
        <w:spacing w:line="360" w:lineRule="auto"/>
        <w:ind w:firstLine="1418"/>
        <w:jc w:val="both"/>
        <w:rPr>
          <w:rFonts w:ascii="Cambria" w:hAnsi="Cambria" w:cs="Times New Roman"/>
          <w:bCs/>
          <w:sz w:val="22"/>
          <w:szCs w:val="22"/>
          <w:lang w:val="pt-BR"/>
        </w:rPr>
      </w:pPr>
      <w:r w:rsidRPr="006D6F56">
        <w:rPr>
          <w:rFonts w:ascii="Cambria" w:hAnsi="Cambria" w:cs="Times New Roman"/>
          <w:bCs/>
          <w:sz w:val="22"/>
          <w:szCs w:val="22"/>
          <w:lang w:val="pt-BR"/>
        </w:rPr>
        <w:t xml:space="preserve">Grupo 1 – defesa: </w:t>
      </w:r>
      <w:r w:rsidR="00E5430D">
        <w:rPr>
          <w:rFonts w:ascii="Cambria" w:hAnsi="Cambria" w:cs="Times New Roman"/>
          <w:bCs/>
          <w:sz w:val="22"/>
          <w:szCs w:val="22"/>
          <w:lang w:val="pt-BR"/>
        </w:rPr>
        <w:t xml:space="preserve">na condição de Defensor Público, </w:t>
      </w:r>
      <w:r w:rsidR="00C65682">
        <w:rPr>
          <w:rFonts w:ascii="Cambria" w:hAnsi="Cambria" w:cs="Times New Roman"/>
          <w:bCs/>
          <w:sz w:val="22"/>
          <w:szCs w:val="22"/>
          <w:lang w:val="pt-BR"/>
        </w:rPr>
        <w:t xml:space="preserve">interponha </w:t>
      </w:r>
      <w:r w:rsidR="00527CC2">
        <w:rPr>
          <w:rFonts w:ascii="Cambria" w:hAnsi="Cambria" w:cs="Times New Roman"/>
          <w:bCs/>
          <w:sz w:val="22"/>
          <w:szCs w:val="22"/>
          <w:lang w:val="pt-BR"/>
        </w:rPr>
        <w:t xml:space="preserve">e arrazoe </w:t>
      </w:r>
      <w:r w:rsidR="00C65682">
        <w:rPr>
          <w:rFonts w:ascii="Cambria" w:hAnsi="Cambria" w:cs="Times New Roman"/>
          <w:bCs/>
          <w:sz w:val="22"/>
          <w:szCs w:val="22"/>
          <w:lang w:val="pt-BR"/>
        </w:rPr>
        <w:t xml:space="preserve">recurso de apelação, </w:t>
      </w:r>
      <w:r w:rsidR="006449F1">
        <w:rPr>
          <w:rFonts w:ascii="Cambria" w:hAnsi="Cambria" w:cs="Times New Roman"/>
          <w:bCs/>
          <w:sz w:val="22"/>
          <w:szCs w:val="22"/>
          <w:lang w:val="pt-BR"/>
        </w:rPr>
        <w:t>reqeurendo</w:t>
      </w:r>
      <w:r w:rsidR="00C65682">
        <w:rPr>
          <w:rFonts w:ascii="Cambria" w:hAnsi="Cambria" w:cs="Times New Roman"/>
          <w:bCs/>
          <w:sz w:val="22"/>
          <w:szCs w:val="22"/>
          <w:lang w:val="pt-BR"/>
        </w:rPr>
        <w:t xml:space="preserve"> a absolvição de Marie em razão da ilicitude probatória, decorrente da violação à garantia da inviolabilidade dos dados bancários. </w:t>
      </w:r>
    </w:p>
    <w:p w14:paraId="19F125F6" w14:textId="0CF50531" w:rsidR="006846A6" w:rsidRPr="006D6F56" w:rsidRDefault="006846A6" w:rsidP="006D6F56">
      <w:pPr>
        <w:spacing w:line="360" w:lineRule="auto"/>
        <w:ind w:firstLine="1418"/>
        <w:jc w:val="both"/>
        <w:rPr>
          <w:rFonts w:ascii="Cambria" w:hAnsi="Cambria" w:cs="Times New Roman"/>
          <w:sz w:val="22"/>
          <w:szCs w:val="22"/>
          <w:lang w:val="pt-BR"/>
        </w:rPr>
      </w:pPr>
      <w:r w:rsidRPr="006D6F56">
        <w:rPr>
          <w:rFonts w:ascii="Cambria" w:hAnsi="Cambria" w:cs="Times New Roman"/>
          <w:bCs/>
          <w:sz w:val="22"/>
          <w:szCs w:val="22"/>
          <w:lang w:val="pt-BR"/>
        </w:rPr>
        <w:t xml:space="preserve">Grupo 2 – Ministério Público: </w:t>
      </w:r>
      <w:r w:rsidR="00C65682">
        <w:rPr>
          <w:rFonts w:ascii="Cambria" w:hAnsi="Cambria" w:cs="Times New Roman"/>
          <w:bCs/>
          <w:sz w:val="22"/>
          <w:szCs w:val="22"/>
          <w:lang w:val="pt-BR"/>
        </w:rPr>
        <w:t>apresente contrarrazões ao recurso de apelação, sustentando a teoria da descoberta inevitável no caso em apreço.</w:t>
      </w:r>
    </w:p>
    <w:p w14:paraId="534A0E6E" w14:textId="77777777" w:rsidR="006846A6" w:rsidRPr="006D6F56" w:rsidRDefault="006846A6" w:rsidP="006D6F56">
      <w:pPr>
        <w:spacing w:line="360" w:lineRule="auto"/>
        <w:jc w:val="both"/>
        <w:rPr>
          <w:rFonts w:ascii="Cambria" w:hAnsi="Cambria" w:cs="Times New Roman"/>
          <w:bCs/>
          <w:sz w:val="22"/>
          <w:szCs w:val="22"/>
          <w:lang w:val="pt-BR"/>
        </w:rPr>
      </w:pPr>
    </w:p>
    <w:p w14:paraId="5B18776A" w14:textId="77777777" w:rsidR="00CC7B50" w:rsidRPr="006D6F56" w:rsidRDefault="00CC7B50" w:rsidP="006D6F56">
      <w:pPr>
        <w:spacing w:line="360" w:lineRule="auto"/>
        <w:ind w:firstLine="1418"/>
        <w:jc w:val="both"/>
        <w:rPr>
          <w:rFonts w:ascii="Cambria" w:hAnsi="Cambria" w:cs="Times New Roman"/>
          <w:bCs/>
          <w:sz w:val="22"/>
          <w:szCs w:val="22"/>
          <w:lang w:val="pt-BR"/>
        </w:rPr>
      </w:pPr>
    </w:p>
    <w:p w14:paraId="54A9F519" w14:textId="77777777" w:rsidR="00CC7B50" w:rsidRPr="006D6F56" w:rsidRDefault="00CC7B50" w:rsidP="006D6F56">
      <w:pPr>
        <w:spacing w:line="360" w:lineRule="auto"/>
        <w:ind w:firstLine="1418"/>
        <w:jc w:val="both"/>
        <w:rPr>
          <w:rFonts w:ascii="Cambria" w:hAnsi="Cambria" w:cs="Times New Roman"/>
          <w:bCs/>
          <w:sz w:val="22"/>
          <w:szCs w:val="22"/>
          <w:lang w:val="pt-BR"/>
        </w:rPr>
      </w:pPr>
    </w:p>
    <w:p w14:paraId="172CA6E3" w14:textId="77777777" w:rsidR="008346E7" w:rsidRPr="006D6F56" w:rsidRDefault="008346E7" w:rsidP="006D6F56">
      <w:pPr>
        <w:spacing w:line="360" w:lineRule="auto"/>
        <w:jc w:val="both"/>
        <w:rPr>
          <w:rFonts w:ascii="Cambria" w:hAnsi="Cambria" w:cs="Times New Roman"/>
          <w:bCs/>
          <w:sz w:val="22"/>
          <w:szCs w:val="22"/>
          <w:lang w:val="pt-BR"/>
        </w:rPr>
      </w:pPr>
    </w:p>
    <w:sectPr w:rsidR="008346E7" w:rsidRPr="006D6F56">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1675" w16cex:dateUtc="2020-11-11T10:51:00Z"/>
  <w16cex:commentExtensible w16cex:durableId="235616C5" w16cex:dateUtc="2020-11-11T10:52:00Z"/>
  <w16cex:commentExtensible w16cex:durableId="235618AF" w16cex:dateUtc="2020-11-11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1D19D" w16cid:durableId="23561675"/>
  <w16cid:commentId w16cid:paraId="05B743F1" w16cid:durableId="235616C5"/>
  <w16cid:commentId w16cid:paraId="20D06929" w16cid:durableId="235618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53D20" w14:textId="77777777" w:rsidR="0083031E" w:rsidRDefault="0083031E" w:rsidP="005F7A03">
      <w:r>
        <w:separator/>
      </w:r>
    </w:p>
  </w:endnote>
  <w:endnote w:type="continuationSeparator" w:id="0">
    <w:p w14:paraId="1B4C548E" w14:textId="77777777" w:rsidR="0083031E" w:rsidRDefault="0083031E" w:rsidP="005F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4E997" w14:textId="77777777" w:rsidR="0083031E" w:rsidRDefault="0083031E" w:rsidP="005F7A03">
      <w:r>
        <w:separator/>
      </w:r>
    </w:p>
  </w:footnote>
  <w:footnote w:type="continuationSeparator" w:id="0">
    <w:p w14:paraId="69395CF0" w14:textId="77777777" w:rsidR="0083031E" w:rsidRDefault="0083031E" w:rsidP="005F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5F"/>
    <w:rsid w:val="000263E1"/>
    <w:rsid w:val="0004408A"/>
    <w:rsid w:val="00097C46"/>
    <w:rsid w:val="000D1D73"/>
    <w:rsid w:val="000E5E21"/>
    <w:rsid w:val="00104054"/>
    <w:rsid w:val="00171307"/>
    <w:rsid w:val="001C4720"/>
    <w:rsid w:val="001E439D"/>
    <w:rsid w:val="00224EC0"/>
    <w:rsid w:val="002A504B"/>
    <w:rsid w:val="002A53D6"/>
    <w:rsid w:val="002B1FCB"/>
    <w:rsid w:val="00354F25"/>
    <w:rsid w:val="00430B4F"/>
    <w:rsid w:val="00451169"/>
    <w:rsid w:val="0049735F"/>
    <w:rsid w:val="004C4728"/>
    <w:rsid w:val="004D4BCD"/>
    <w:rsid w:val="00527CC2"/>
    <w:rsid w:val="005C3EE9"/>
    <w:rsid w:val="005F7A03"/>
    <w:rsid w:val="0060692E"/>
    <w:rsid w:val="006449F1"/>
    <w:rsid w:val="00654DEA"/>
    <w:rsid w:val="0067174D"/>
    <w:rsid w:val="00676C7F"/>
    <w:rsid w:val="006846A6"/>
    <w:rsid w:val="006922B7"/>
    <w:rsid w:val="006D6F56"/>
    <w:rsid w:val="00706586"/>
    <w:rsid w:val="00762571"/>
    <w:rsid w:val="007B6DD1"/>
    <w:rsid w:val="0083031E"/>
    <w:rsid w:val="008346E7"/>
    <w:rsid w:val="0088553A"/>
    <w:rsid w:val="008906A4"/>
    <w:rsid w:val="00937E88"/>
    <w:rsid w:val="00962AFD"/>
    <w:rsid w:val="009850DA"/>
    <w:rsid w:val="009A4DBC"/>
    <w:rsid w:val="009F7E76"/>
    <w:rsid w:val="00A22ED0"/>
    <w:rsid w:val="00A37355"/>
    <w:rsid w:val="00AB6B29"/>
    <w:rsid w:val="00AD1BA2"/>
    <w:rsid w:val="00AE08DF"/>
    <w:rsid w:val="00B1533C"/>
    <w:rsid w:val="00B661FD"/>
    <w:rsid w:val="00BA38CF"/>
    <w:rsid w:val="00BB1D18"/>
    <w:rsid w:val="00BE67DA"/>
    <w:rsid w:val="00C07E0D"/>
    <w:rsid w:val="00C65682"/>
    <w:rsid w:val="00CC7B50"/>
    <w:rsid w:val="00D41B60"/>
    <w:rsid w:val="00D601C5"/>
    <w:rsid w:val="00DD2C45"/>
    <w:rsid w:val="00DF664E"/>
    <w:rsid w:val="00E12B31"/>
    <w:rsid w:val="00E341BB"/>
    <w:rsid w:val="00E5430D"/>
    <w:rsid w:val="00E77A8B"/>
    <w:rsid w:val="00F06EA3"/>
    <w:rsid w:val="00F45D89"/>
    <w:rsid w:val="00F664F2"/>
    <w:rsid w:val="00FB5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3241"/>
  <w15:docId w15:val="{E88526B2-2479-4D18-8096-8362ADC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35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F7A03"/>
  </w:style>
  <w:style w:type="character" w:customStyle="1" w:styleId="TextonotapieCar">
    <w:name w:val="Texto nota pie Car"/>
    <w:basedOn w:val="Fuentedeprrafopredeter"/>
    <w:link w:val="Textonotapie"/>
    <w:uiPriority w:val="99"/>
    <w:rsid w:val="005F7A03"/>
    <w:rPr>
      <w:sz w:val="24"/>
      <w:szCs w:val="24"/>
      <w:lang w:val="es-ES_tradnl"/>
    </w:rPr>
  </w:style>
  <w:style w:type="character" w:styleId="Refdenotaalpie">
    <w:name w:val="footnote reference"/>
    <w:basedOn w:val="Fuentedeprrafopredeter"/>
    <w:uiPriority w:val="99"/>
    <w:unhideWhenUsed/>
    <w:rsid w:val="005F7A03"/>
    <w:rPr>
      <w:vertAlign w:val="superscript"/>
    </w:rPr>
  </w:style>
  <w:style w:type="paragraph" w:styleId="Textodeglobo">
    <w:name w:val="Balloon Text"/>
    <w:basedOn w:val="Normal"/>
    <w:link w:val="TextodegloboCar"/>
    <w:uiPriority w:val="99"/>
    <w:semiHidden/>
    <w:unhideWhenUsed/>
    <w:rsid w:val="0052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CC2"/>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527CC2"/>
    <w:rPr>
      <w:sz w:val="16"/>
      <w:szCs w:val="16"/>
    </w:rPr>
  </w:style>
  <w:style w:type="paragraph" w:styleId="Textocomentario">
    <w:name w:val="annotation text"/>
    <w:basedOn w:val="Normal"/>
    <w:link w:val="TextocomentarioCar"/>
    <w:uiPriority w:val="99"/>
    <w:semiHidden/>
    <w:unhideWhenUsed/>
    <w:rsid w:val="00527CC2"/>
    <w:rPr>
      <w:sz w:val="20"/>
      <w:szCs w:val="20"/>
    </w:rPr>
  </w:style>
  <w:style w:type="character" w:customStyle="1" w:styleId="TextocomentarioCar">
    <w:name w:val="Texto comentario Car"/>
    <w:basedOn w:val="Fuentedeprrafopredeter"/>
    <w:link w:val="Textocomentario"/>
    <w:uiPriority w:val="99"/>
    <w:semiHidden/>
    <w:rsid w:val="00527CC2"/>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27CC2"/>
    <w:rPr>
      <w:b/>
      <w:bCs/>
    </w:rPr>
  </w:style>
  <w:style w:type="character" w:customStyle="1" w:styleId="AsuntodelcomentarioCar">
    <w:name w:val="Asunto del comentario Car"/>
    <w:basedOn w:val="TextocomentarioCar"/>
    <w:link w:val="Asuntodelcomentario"/>
    <w:uiPriority w:val="99"/>
    <w:semiHidden/>
    <w:rsid w:val="00527CC2"/>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E342A5E-DEE9-C549-9988-D25A91CF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1499</Words>
  <Characters>8245</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HENRIQUE ARCURI GOUVEIA</dc:creator>
  <cp:lastModifiedBy>Pedro Henrique Arcuri Gouveia</cp:lastModifiedBy>
  <cp:revision>3</cp:revision>
  <dcterms:created xsi:type="dcterms:W3CDTF">2020-11-11T11:02:00Z</dcterms:created>
  <dcterms:modified xsi:type="dcterms:W3CDTF">2020-11-12T10:28:00Z</dcterms:modified>
</cp:coreProperties>
</file>