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Grupos matutino - Ferramentas da qualidade para inocuidade dos alimentos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Ana Grassi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Cinthya Marinho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Isabella Albuquerque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Pamelly Melo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Raphaella Padulla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Rebeca Rocha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 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Giovana Lamano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Giulia Rocha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Isabela Sousa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Steffany Moreira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Vitória Alexandra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Clara Folino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Milla Amarante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 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Alessandro Teixeira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Jennifer Soares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José Maurício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Victória Brito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Marina Cavalin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Paula Pereira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Felipe Leschaud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 4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Ana Renata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Leonardo Muniz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Beatriz Bononi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Joyce Moura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Renata Marcondes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Andreza Alves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Fernanda Venâncio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Ingrid Brandimiller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 5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Ana Carolina Gonçalves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Lívia Dirani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Lissa Potter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Nina Ceccon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Clara Guimarães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Vithor Rossi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Carolina Fischmann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Humberto Silva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