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285DF" w14:textId="5D408ADE" w:rsidR="00F754F7" w:rsidRPr="005027B8" w:rsidRDefault="005027B8" w:rsidP="005027B8">
      <w:pPr>
        <w:jc w:val="center"/>
        <w:rPr>
          <w:b/>
          <w:bCs/>
          <w:sz w:val="28"/>
          <w:szCs w:val="28"/>
        </w:rPr>
      </w:pPr>
      <w:r w:rsidRPr="005027B8">
        <w:rPr>
          <w:b/>
          <w:bCs/>
          <w:sz w:val="28"/>
          <w:szCs w:val="28"/>
        </w:rPr>
        <w:t xml:space="preserve">PRÁTICA No. </w:t>
      </w:r>
      <w:r w:rsidR="00256138">
        <w:rPr>
          <w:b/>
          <w:bCs/>
          <w:sz w:val="28"/>
          <w:szCs w:val="28"/>
        </w:rPr>
        <w:t>4</w:t>
      </w:r>
    </w:p>
    <w:p w14:paraId="74C3BE67" w14:textId="013936BD" w:rsidR="005027B8" w:rsidRPr="005027B8" w:rsidRDefault="00256138" w:rsidP="005027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ESPECTROSCOPIA NO UV-VIS, LEI DE LAMBERT-BEER</w:t>
      </w:r>
    </w:p>
    <w:p w14:paraId="56242889" w14:textId="44340508" w:rsidR="005027B8" w:rsidRDefault="005027B8"/>
    <w:p w14:paraId="634386D2" w14:textId="309809CC" w:rsidR="00256138" w:rsidRDefault="005027B8" w:rsidP="005027B8">
      <w:pPr>
        <w:jc w:val="both"/>
      </w:pPr>
      <w:r>
        <w:tab/>
      </w:r>
      <w:r w:rsidR="00256138">
        <w:t>Vamos estudar a absorção e a transmitância de luz que passa por uma solução colorida</w:t>
      </w:r>
      <w:r w:rsidR="00DA2316">
        <w:t xml:space="preserve">. </w:t>
      </w:r>
      <w:r w:rsidR="00256138">
        <w:t>Este fenômeno é quantizado pela lei de Lambert-</w:t>
      </w:r>
      <w:proofErr w:type="spellStart"/>
      <w:r w:rsidR="00256138">
        <w:t>Beer</w:t>
      </w:r>
      <w:proofErr w:type="spellEnd"/>
      <w:r w:rsidR="00256138">
        <w:t>, que você deve encontrar na internet, estudar a aplicar nestes experimentos.</w:t>
      </w:r>
    </w:p>
    <w:p w14:paraId="65F68D60" w14:textId="6177CE69" w:rsidR="00256138" w:rsidRDefault="00256138" w:rsidP="005027B8">
      <w:pPr>
        <w:jc w:val="both"/>
      </w:pPr>
      <w:r>
        <w:tab/>
        <w:t>Este módulo é composto por dois experimentos diferentes:</w:t>
      </w:r>
    </w:p>
    <w:p w14:paraId="4C368217" w14:textId="62298512" w:rsidR="00256138" w:rsidRDefault="00256138" w:rsidP="005027B8">
      <w:pPr>
        <w:jc w:val="both"/>
      </w:pPr>
    </w:p>
    <w:p w14:paraId="6DE2DFC6" w14:textId="1CB996BA" w:rsidR="00256138" w:rsidRDefault="00256138" w:rsidP="00256138">
      <w:pPr>
        <w:jc w:val="center"/>
      </w:pPr>
      <w:r>
        <w:rPr>
          <w:noProof/>
        </w:rPr>
        <w:drawing>
          <wp:inline distT="0" distB="0" distL="0" distR="0" wp14:anchorId="16D81253" wp14:editId="10151AA6">
            <wp:extent cx="2453560" cy="2872105"/>
            <wp:effectExtent l="0" t="0" r="444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04" t="15942" r="49823" b="10510"/>
                    <a:stretch/>
                  </pic:blipFill>
                  <pic:spPr bwMode="auto">
                    <a:xfrm>
                      <a:off x="0" y="0"/>
                      <a:ext cx="2469029" cy="289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7D6CD" w14:textId="0BD878ED" w:rsidR="005027B8" w:rsidRDefault="005027B8" w:rsidP="005027B8">
      <w:pPr>
        <w:jc w:val="both"/>
      </w:pPr>
    </w:p>
    <w:p w14:paraId="0AA3D8B8" w14:textId="1413652B" w:rsidR="005027B8" w:rsidRPr="005027B8" w:rsidRDefault="005027B8" w:rsidP="005027B8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 xml:space="preserve">Experimento No. 1: </w:t>
      </w:r>
      <w:r w:rsidR="00256138">
        <w:rPr>
          <w:b/>
          <w:bCs/>
          <w:i/>
          <w:iCs/>
          <w:sz w:val="28"/>
          <w:szCs w:val="28"/>
        </w:rPr>
        <w:t>Concentração</w:t>
      </w:r>
    </w:p>
    <w:p w14:paraId="75300141" w14:textId="471CCCA8" w:rsidR="005027B8" w:rsidRDefault="005027B8" w:rsidP="005027B8">
      <w:pPr>
        <w:jc w:val="both"/>
      </w:pPr>
    </w:p>
    <w:p w14:paraId="36E42A8D" w14:textId="1EE9C05D" w:rsidR="00256138" w:rsidRDefault="00256138" w:rsidP="00256138">
      <w:pPr>
        <w:jc w:val="center"/>
      </w:pPr>
      <w:r>
        <w:rPr>
          <w:noProof/>
        </w:rPr>
        <w:drawing>
          <wp:inline distT="0" distB="0" distL="0" distR="0" wp14:anchorId="08856C8E" wp14:editId="558C97DA">
            <wp:extent cx="2580530" cy="223221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85" t="25642" r="50466" b="21621"/>
                    <a:stretch/>
                  </pic:blipFill>
                  <pic:spPr bwMode="auto">
                    <a:xfrm>
                      <a:off x="0" y="0"/>
                      <a:ext cx="2595731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E1870" w14:textId="5C799533" w:rsidR="00583D8A" w:rsidRDefault="00256138" w:rsidP="005027B8">
      <w:pPr>
        <w:jc w:val="both"/>
      </w:pPr>
      <w:r>
        <w:lastRenderedPageBreak/>
        <w:tab/>
        <w:t>Este módulo é bastante semelhante àquele que estudamos na primeira prática, porém aqui, ao invés de determinarmos a solubilidade dos sais envolvidos, iremos observar a dependência da intensidade da cor da solução com a concentração dos íons dissolvidos.</w:t>
      </w:r>
    </w:p>
    <w:p w14:paraId="3F5DA79C" w14:textId="60FF8E58" w:rsidR="00256138" w:rsidRDefault="00256138" w:rsidP="005027B8">
      <w:pPr>
        <w:jc w:val="both"/>
      </w:pPr>
      <w:r>
        <w:tab/>
        <w:t xml:space="preserve">Para isto, inicialmente selecionaremos o sal na caixa de opções. Vamos ignorar o suco em pó. Após selecionar o sal, posicionamos o medidor de concentrações dentro da solução e </w:t>
      </w:r>
      <w:r w:rsidR="00657796">
        <w:t>acrescentamos uma pequena quantidade do sal. O que acontece com a cor da solução? Vamos acrescentar progressivamente mais sal e observar o que acontece com a cor da solução. Em qual concentração do sal não é mais possível observar mudanças na intensidade da cor? Qual a cor da solução para cada sal? Construir uma tabela com estes dados.</w:t>
      </w:r>
    </w:p>
    <w:p w14:paraId="546293A7" w14:textId="77777777" w:rsidR="00256138" w:rsidRDefault="00256138" w:rsidP="005027B8">
      <w:pPr>
        <w:jc w:val="both"/>
      </w:pPr>
    </w:p>
    <w:p w14:paraId="169D4BC4" w14:textId="77777777" w:rsidR="00583D8A" w:rsidRDefault="00583D8A" w:rsidP="005027B8">
      <w:pPr>
        <w:jc w:val="both"/>
      </w:pPr>
    </w:p>
    <w:p w14:paraId="04D6D5F5" w14:textId="41BC87CD" w:rsidR="00AC4E94" w:rsidRPr="005027B8" w:rsidRDefault="00AC4E94" w:rsidP="00AC4E94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 xml:space="preserve">Experimento No. </w:t>
      </w:r>
      <w:r>
        <w:rPr>
          <w:b/>
          <w:bCs/>
          <w:i/>
          <w:iCs/>
          <w:sz w:val="28"/>
          <w:szCs w:val="28"/>
        </w:rPr>
        <w:t>2</w:t>
      </w:r>
      <w:r w:rsidRPr="005027B8">
        <w:rPr>
          <w:b/>
          <w:bCs/>
          <w:i/>
          <w:iCs/>
          <w:sz w:val="28"/>
          <w:szCs w:val="28"/>
        </w:rPr>
        <w:t xml:space="preserve">: </w:t>
      </w:r>
      <w:r w:rsidR="00657796">
        <w:rPr>
          <w:b/>
          <w:bCs/>
          <w:i/>
          <w:iCs/>
          <w:sz w:val="28"/>
          <w:szCs w:val="28"/>
        </w:rPr>
        <w:t>Lei de Lambert-</w:t>
      </w:r>
      <w:proofErr w:type="spellStart"/>
      <w:r w:rsidR="00657796">
        <w:rPr>
          <w:b/>
          <w:bCs/>
          <w:i/>
          <w:iCs/>
          <w:sz w:val="28"/>
          <w:szCs w:val="28"/>
        </w:rPr>
        <w:t>Beer</w:t>
      </w:r>
      <w:proofErr w:type="spellEnd"/>
    </w:p>
    <w:p w14:paraId="77C3CEB7" w14:textId="78B2961E" w:rsidR="00AC4E94" w:rsidRDefault="00AC4E94" w:rsidP="005027B8">
      <w:pPr>
        <w:jc w:val="both"/>
      </w:pPr>
    </w:p>
    <w:p w14:paraId="4EF128C7" w14:textId="5BB31249" w:rsidR="00D43356" w:rsidRDefault="00657796" w:rsidP="00657796">
      <w:pPr>
        <w:jc w:val="center"/>
      </w:pPr>
      <w:r>
        <w:rPr>
          <w:noProof/>
        </w:rPr>
        <w:drawing>
          <wp:inline distT="0" distB="0" distL="0" distR="0" wp14:anchorId="37874278" wp14:editId="0665610D">
            <wp:extent cx="4202045" cy="3516406"/>
            <wp:effectExtent l="0" t="0" r="8255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36" t="25715" r="50441" b="22452"/>
                    <a:stretch/>
                  </pic:blipFill>
                  <pic:spPr bwMode="auto">
                    <a:xfrm>
                      <a:off x="0" y="0"/>
                      <a:ext cx="4238776" cy="354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746D" w14:textId="216C67BF" w:rsidR="00657796" w:rsidRDefault="00657796" w:rsidP="00657796">
      <w:pPr>
        <w:jc w:val="both"/>
      </w:pPr>
    </w:p>
    <w:p w14:paraId="56D4BE76" w14:textId="032427ED" w:rsidR="00657796" w:rsidRDefault="00131A65" w:rsidP="00657796">
      <w:pPr>
        <w:jc w:val="both"/>
      </w:pPr>
      <w:r>
        <w:t>Como anteriormente, vamos começar selecionando o sal na caixa de opções. A seguir posicionaremos a régua de maneira a avaliar precisamente o comprimento da cubeta (que chamamos de caminho ótico). Após isto, ligamos o feixe de luz, pressionando o botão vermelho no canhão. O sensor deve ser colocado após a cubeta. Assinalamos a opção variável para o comprimento de onda. Para cada sal, escolheremos o comprimento de onda que gerar o maior valor de transmitância no medidor. Pode-se observar que este valor de comprimento de onda é relacionado com a cor complementar àquela da solução. O que é cor complementar?</w:t>
      </w:r>
    </w:p>
    <w:p w14:paraId="1D1C6A85" w14:textId="2A7C217E" w:rsidR="00131A65" w:rsidRDefault="00131A65" w:rsidP="00657796">
      <w:pPr>
        <w:jc w:val="both"/>
      </w:pPr>
      <w:r>
        <w:tab/>
        <w:t xml:space="preserve">Anotamos o valor </w:t>
      </w:r>
      <w:r w:rsidR="00D35A93">
        <w:t xml:space="preserve">máximo </w:t>
      </w:r>
      <w:r>
        <w:t xml:space="preserve">da transmitância e da absorbância antes e após a cubeta, deslocando o sensor. </w:t>
      </w:r>
      <w:r w:rsidR="00D35A93">
        <w:t xml:space="preserve">Finalmente, variamos a concentração do sal escolhido, deslizando o </w:t>
      </w:r>
      <w:r w:rsidR="00D35A93">
        <w:lastRenderedPageBreak/>
        <w:t xml:space="preserve">controle de concentração. Ficar atento para a unidade de concentração. Fazer um gráfico de concentração </w:t>
      </w:r>
      <w:proofErr w:type="spellStart"/>
      <w:r w:rsidR="00D35A93">
        <w:t>vs</w:t>
      </w:r>
      <w:proofErr w:type="spellEnd"/>
      <w:r w:rsidR="00D35A93">
        <w:t xml:space="preserve"> absorbância. Deste gráfico e da lei de Lambert-</w:t>
      </w:r>
      <w:proofErr w:type="spellStart"/>
      <w:r w:rsidR="00D35A93">
        <w:t>Beer</w:t>
      </w:r>
      <w:proofErr w:type="spellEnd"/>
      <w:r w:rsidR="00D35A93">
        <w:t xml:space="preserve">, calcular </w:t>
      </w:r>
      <w:r w:rsidR="00D35A93">
        <w:sym w:font="Symbol" w:char="F065"/>
      </w:r>
      <w:r w:rsidR="00D35A93">
        <w:t xml:space="preserve">, o coeficiente de absorção da solução para cada sal. Comentar sobre os valores de </w:t>
      </w:r>
      <w:r w:rsidR="00D35A93">
        <w:sym w:font="Symbol" w:char="F065"/>
      </w:r>
      <w:r w:rsidR="00D35A93">
        <w:t xml:space="preserve"> e a variação da intensidade de cor da solução.</w:t>
      </w:r>
    </w:p>
    <w:p w14:paraId="771DA8F3" w14:textId="59C4047E" w:rsidR="00D35A93" w:rsidRDefault="00D35A93" w:rsidP="00657796">
      <w:pPr>
        <w:jc w:val="both"/>
      </w:pPr>
      <w:r>
        <w:tab/>
        <w:t>Repetir o procedimento para todos os sais e construir uma tabela com os valores coletados. Comparar com valores obtidos da literatura.</w:t>
      </w:r>
    </w:p>
    <w:p w14:paraId="4FED4830" w14:textId="2C57B49D" w:rsidR="00D35A93" w:rsidRDefault="00D35A93" w:rsidP="00657796">
      <w:pPr>
        <w:jc w:val="both"/>
      </w:pPr>
      <w:r>
        <w:tab/>
        <w:t>Como podemos utilizar esta técnica para analisar uma solução de sal com concentração desconhecida?</w:t>
      </w:r>
    </w:p>
    <w:p w14:paraId="3BB8BDFB" w14:textId="395D22F2" w:rsidR="00D35A93" w:rsidRDefault="00D35A93" w:rsidP="00657796">
      <w:pPr>
        <w:jc w:val="both"/>
      </w:pPr>
    </w:p>
    <w:p w14:paraId="451272CF" w14:textId="03A83E7D" w:rsidR="00D35A93" w:rsidRDefault="00D35A93" w:rsidP="00657796">
      <w:pPr>
        <w:jc w:val="both"/>
      </w:pPr>
      <w:r>
        <w:t>Boa Prática!</w:t>
      </w:r>
    </w:p>
    <w:sectPr w:rsidR="00D35A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trQ0NjQ3NgAShko6SsGpxcWZ+XkgBca1AP4g/DssAAAA"/>
  </w:docVars>
  <w:rsids>
    <w:rsidRoot w:val="005027B8"/>
    <w:rsid w:val="000761BD"/>
    <w:rsid w:val="00112098"/>
    <w:rsid w:val="00112F98"/>
    <w:rsid w:val="00131A65"/>
    <w:rsid w:val="00190813"/>
    <w:rsid w:val="001B75A6"/>
    <w:rsid w:val="001D18C3"/>
    <w:rsid w:val="00256138"/>
    <w:rsid w:val="002B3EC7"/>
    <w:rsid w:val="00302619"/>
    <w:rsid w:val="00353949"/>
    <w:rsid w:val="0036343D"/>
    <w:rsid w:val="005027B8"/>
    <w:rsid w:val="00535F30"/>
    <w:rsid w:val="00583D8A"/>
    <w:rsid w:val="005E48BE"/>
    <w:rsid w:val="00657796"/>
    <w:rsid w:val="00694FB9"/>
    <w:rsid w:val="006D77B0"/>
    <w:rsid w:val="00747EED"/>
    <w:rsid w:val="0077792E"/>
    <w:rsid w:val="007A2F0C"/>
    <w:rsid w:val="00AC4E94"/>
    <w:rsid w:val="00B50D2A"/>
    <w:rsid w:val="00B50FAE"/>
    <w:rsid w:val="00B858A9"/>
    <w:rsid w:val="00C0274B"/>
    <w:rsid w:val="00C349F7"/>
    <w:rsid w:val="00CB49D1"/>
    <w:rsid w:val="00CF4809"/>
    <w:rsid w:val="00D35A93"/>
    <w:rsid w:val="00D43356"/>
    <w:rsid w:val="00D93CDA"/>
    <w:rsid w:val="00DA2316"/>
    <w:rsid w:val="00E35000"/>
    <w:rsid w:val="00EC209F"/>
    <w:rsid w:val="00F01DCD"/>
    <w:rsid w:val="00F5335A"/>
    <w:rsid w:val="00F754F7"/>
    <w:rsid w:val="00FB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85E7"/>
  <w15:chartTrackingRefBased/>
  <w15:docId w15:val="{D134E422-7CE8-4FC1-AC12-D65291BF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9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basedOn w:val="Fontepargpadro"/>
    <w:uiPriority w:val="99"/>
    <w:unhideWhenUsed/>
    <w:qFormat/>
    <w:rsid w:val="007A2F0C"/>
    <w:rPr>
      <w:rFonts w:ascii="Times New Roman" w:hAnsi="Times New Roman"/>
      <w:sz w:val="24"/>
      <w:szCs w:val="20"/>
      <w:vertAlign w:val="baseline"/>
    </w:rPr>
  </w:style>
  <w:style w:type="paragraph" w:customStyle="1" w:styleId="Estilo3">
    <w:name w:val="Estilo3"/>
    <w:basedOn w:val="Textodenotadefim"/>
    <w:link w:val="Estilo3Char"/>
    <w:autoRedefine/>
    <w:qFormat/>
    <w:rsid w:val="00B50FAE"/>
    <w:pPr>
      <w:jc w:val="both"/>
    </w:pPr>
  </w:style>
  <w:style w:type="character" w:customStyle="1" w:styleId="Estilo3Char">
    <w:name w:val="Estilo3 Char"/>
    <w:basedOn w:val="TextodenotadefimChar"/>
    <w:link w:val="Estilo3"/>
    <w:rsid w:val="00B50FAE"/>
    <w:rPr>
      <w:rFonts w:ascii="Times New Roman" w:hAnsi="Times New Roman"/>
      <w:sz w:val="20"/>
      <w:szCs w:val="20"/>
    </w:rPr>
  </w:style>
  <w:style w:type="paragraph" w:styleId="Textodenotadefim">
    <w:name w:val="endnote text"/>
    <w:basedOn w:val="Normal"/>
    <w:link w:val="TextodenotadefimChar"/>
    <w:autoRedefine/>
    <w:uiPriority w:val="99"/>
    <w:unhideWhenUsed/>
    <w:qFormat/>
    <w:rsid w:val="00EC209F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EC209F"/>
    <w:rPr>
      <w:rFonts w:ascii="Times New Roman" w:hAnsi="Times New Roman"/>
      <w:szCs w:val="20"/>
    </w:rPr>
  </w:style>
  <w:style w:type="character" w:styleId="Hyperlink">
    <w:name w:val="Hyperlink"/>
    <w:basedOn w:val="Fontepargpadro"/>
    <w:uiPriority w:val="99"/>
    <w:unhideWhenUsed/>
    <w:rsid w:val="00B858A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85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394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Antonio Spinola Machado</dc:creator>
  <cp:keywords/>
  <dc:description/>
  <cp:lastModifiedBy>Sergio Antonio Spinola Machado</cp:lastModifiedBy>
  <cp:revision>3</cp:revision>
  <cp:lastPrinted>2020-09-30T11:58:00Z</cp:lastPrinted>
  <dcterms:created xsi:type="dcterms:W3CDTF">2020-10-28T18:44:00Z</dcterms:created>
  <dcterms:modified xsi:type="dcterms:W3CDTF">2020-10-28T19:04:00Z</dcterms:modified>
</cp:coreProperties>
</file>