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D6813" w14:textId="77777777" w:rsidR="008346E7" w:rsidRPr="006D6F56" w:rsidRDefault="008346E7" w:rsidP="006D6F56">
      <w:pPr>
        <w:spacing w:line="360" w:lineRule="auto"/>
        <w:jc w:val="center"/>
        <w:rPr>
          <w:rFonts w:ascii="Cambria" w:hAnsi="Cambria" w:cs="Times New Roman"/>
          <w:b/>
          <w:smallCaps/>
          <w:sz w:val="22"/>
          <w:szCs w:val="22"/>
          <w:lang w:val="pt-BR"/>
        </w:rPr>
      </w:pPr>
      <w:bookmarkStart w:id="0" w:name="_Hlk51610347"/>
      <w:r w:rsidRPr="006D6F56">
        <w:rPr>
          <w:rFonts w:ascii="Cambria" w:hAnsi="Cambria" w:cs="Times New Roman"/>
          <w:b/>
          <w:smallCaps/>
          <w:sz w:val="22"/>
          <w:szCs w:val="22"/>
          <w:lang w:val="pt-BR"/>
        </w:rPr>
        <w:t>DPC0327 - Direito Processual Penal II</w:t>
      </w:r>
    </w:p>
    <w:p w14:paraId="5F623839" w14:textId="77777777" w:rsidR="008346E7" w:rsidRPr="006D6F56" w:rsidRDefault="008346E7" w:rsidP="006D6F56">
      <w:pPr>
        <w:spacing w:line="360" w:lineRule="auto"/>
        <w:jc w:val="center"/>
        <w:rPr>
          <w:rFonts w:ascii="Cambria" w:hAnsi="Cambria" w:cs="Times New Roman"/>
          <w:sz w:val="22"/>
          <w:szCs w:val="22"/>
          <w:lang w:val="pt-BR"/>
        </w:rPr>
      </w:pPr>
      <w:bookmarkStart w:id="1" w:name="_Hlk51610350"/>
      <w:bookmarkEnd w:id="0"/>
      <w:r w:rsidRPr="006D6F56">
        <w:rPr>
          <w:rFonts w:ascii="Cambria" w:hAnsi="Cambria" w:cs="Times New Roman"/>
          <w:sz w:val="22"/>
          <w:szCs w:val="22"/>
          <w:lang w:val="pt-BR"/>
        </w:rPr>
        <w:t>Professora Doutora Marta Saad</w:t>
      </w:r>
    </w:p>
    <w:p w14:paraId="52346A7E" w14:textId="77777777" w:rsidR="008346E7" w:rsidRPr="006D6F56" w:rsidRDefault="008346E7" w:rsidP="006D6F56">
      <w:pPr>
        <w:spacing w:line="360" w:lineRule="auto"/>
        <w:jc w:val="center"/>
        <w:rPr>
          <w:rFonts w:ascii="Cambria" w:hAnsi="Cambria" w:cs="Times New Roman"/>
          <w:sz w:val="22"/>
          <w:szCs w:val="22"/>
          <w:lang w:val="pt-BR"/>
        </w:rPr>
      </w:pPr>
      <w:r w:rsidRPr="006D6F56">
        <w:rPr>
          <w:rFonts w:ascii="Cambria" w:hAnsi="Cambria" w:cs="Times New Roman"/>
          <w:sz w:val="22"/>
          <w:szCs w:val="22"/>
          <w:lang w:val="pt-BR"/>
        </w:rPr>
        <w:t>Monitores Daiana Ryu e Pedro Arcuri</w:t>
      </w:r>
    </w:p>
    <w:bookmarkEnd w:id="1"/>
    <w:p w14:paraId="3FE633DF" w14:textId="77777777" w:rsidR="008346E7" w:rsidRPr="006D6F56" w:rsidRDefault="008346E7" w:rsidP="006D6F56">
      <w:pPr>
        <w:spacing w:line="360" w:lineRule="auto"/>
        <w:jc w:val="both"/>
        <w:rPr>
          <w:rFonts w:ascii="Cambria" w:hAnsi="Cambria" w:cs="Times New Roman"/>
          <w:b/>
          <w:sz w:val="22"/>
          <w:szCs w:val="22"/>
          <w:lang w:val="pt-BR"/>
        </w:rPr>
      </w:pPr>
    </w:p>
    <w:p w14:paraId="7D60D284" w14:textId="633A2F42" w:rsidR="008346E7" w:rsidRPr="006D6F56" w:rsidRDefault="00354F25" w:rsidP="006D6F56">
      <w:pPr>
        <w:spacing w:line="360" w:lineRule="auto"/>
        <w:jc w:val="center"/>
        <w:rPr>
          <w:rFonts w:ascii="Cambria" w:hAnsi="Cambria" w:cs="Times New Roman"/>
          <w:b/>
          <w:sz w:val="22"/>
          <w:szCs w:val="22"/>
          <w:lang w:val="pt-BR"/>
        </w:rPr>
      </w:pPr>
      <w:r w:rsidRPr="006D6F56">
        <w:rPr>
          <w:rFonts w:ascii="Cambria" w:hAnsi="Cambria" w:cs="Times New Roman"/>
          <w:b/>
          <w:sz w:val="22"/>
          <w:szCs w:val="22"/>
          <w:lang w:val="pt-BR"/>
        </w:rPr>
        <w:t>Seminário 2</w:t>
      </w:r>
      <w:r w:rsidR="008346E7" w:rsidRPr="006D6F56">
        <w:rPr>
          <w:rFonts w:ascii="Cambria" w:hAnsi="Cambria" w:cs="Times New Roman"/>
          <w:b/>
          <w:sz w:val="22"/>
          <w:szCs w:val="22"/>
          <w:lang w:val="pt-BR"/>
        </w:rPr>
        <w:t xml:space="preserve">: </w:t>
      </w:r>
      <w:r w:rsidRPr="006D6F56">
        <w:rPr>
          <w:rFonts w:ascii="Cambria" w:hAnsi="Cambria" w:cs="Times New Roman"/>
          <w:b/>
          <w:sz w:val="22"/>
          <w:szCs w:val="22"/>
          <w:lang w:val="pt-BR"/>
        </w:rPr>
        <w:t>competência</w:t>
      </w:r>
    </w:p>
    <w:p w14:paraId="0679105C" w14:textId="77777777" w:rsidR="008346E7" w:rsidRDefault="008346E7" w:rsidP="006D6F56">
      <w:pPr>
        <w:spacing w:line="360" w:lineRule="auto"/>
        <w:jc w:val="both"/>
        <w:rPr>
          <w:rFonts w:ascii="Cambria" w:hAnsi="Cambria" w:cs="Times New Roman"/>
          <w:bCs/>
          <w:sz w:val="22"/>
          <w:szCs w:val="22"/>
          <w:lang w:val="pt-BR"/>
        </w:rPr>
      </w:pPr>
    </w:p>
    <w:p w14:paraId="4DB70A85" w14:textId="77777777" w:rsidR="00BA38CF" w:rsidRPr="006D6F56" w:rsidRDefault="00BA38CF" w:rsidP="006D6F56">
      <w:pPr>
        <w:spacing w:line="360" w:lineRule="auto"/>
        <w:jc w:val="both"/>
        <w:rPr>
          <w:rFonts w:ascii="Cambria" w:hAnsi="Cambria" w:cs="Times New Roman"/>
          <w:bCs/>
          <w:sz w:val="22"/>
          <w:szCs w:val="22"/>
          <w:lang w:val="pt-BR"/>
        </w:rPr>
      </w:pPr>
    </w:p>
    <w:p w14:paraId="6D755D61" w14:textId="77777777" w:rsidR="008346E7" w:rsidRPr="006D6F56" w:rsidRDefault="008346E7" w:rsidP="006D6F56">
      <w:pPr>
        <w:spacing w:line="360" w:lineRule="auto"/>
        <w:jc w:val="both"/>
        <w:rPr>
          <w:rFonts w:ascii="Cambria" w:hAnsi="Cambria" w:cs="Times New Roman"/>
          <w:b/>
          <w:sz w:val="22"/>
          <w:szCs w:val="22"/>
          <w:lang w:val="pt-BR"/>
        </w:rPr>
      </w:pPr>
      <w:r w:rsidRPr="006D6F56">
        <w:rPr>
          <w:rFonts w:ascii="Cambria" w:hAnsi="Cambria" w:cs="Times New Roman"/>
          <w:b/>
          <w:sz w:val="22"/>
          <w:szCs w:val="22"/>
          <w:lang w:val="pt-BR"/>
        </w:rPr>
        <w:t>. Caso 01</w:t>
      </w:r>
    </w:p>
    <w:p w14:paraId="4A8C48C6" w14:textId="05F80421" w:rsidR="008346E7" w:rsidRPr="006D6F56" w:rsidRDefault="008346E7" w:rsidP="006D6F56">
      <w:pPr>
        <w:spacing w:line="360" w:lineRule="auto"/>
        <w:jc w:val="both"/>
        <w:rPr>
          <w:rFonts w:ascii="Cambria" w:hAnsi="Cambria" w:cs="Times New Roman"/>
          <w:bCs/>
          <w:sz w:val="22"/>
          <w:szCs w:val="22"/>
          <w:lang w:val="pt-BR"/>
        </w:rPr>
      </w:pPr>
      <w:r w:rsidRPr="006D6F56">
        <w:rPr>
          <w:rFonts w:ascii="Cambria" w:hAnsi="Cambria" w:cs="Times New Roman"/>
          <w:bCs/>
          <w:sz w:val="22"/>
          <w:szCs w:val="22"/>
          <w:lang w:val="pt-BR"/>
        </w:rPr>
        <w:t xml:space="preserve">Subtema: </w:t>
      </w:r>
      <w:r w:rsidR="00F664F2" w:rsidRPr="006D6F56">
        <w:rPr>
          <w:rFonts w:ascii="Cambria" w:hAnsi="Cambria" w:cs="Times New Roman"/>
          <w:bCs/>
          <w:sz w:val="22"/>
          <w:szCs w:val="22"/>
          <w:lang w:val="pt-BR"/>
        </w:rPr>
        <w:t>juiz natural</w:t>
      </w:r>
    </w:p>
    <w:p w14:paraId="02D0BB8F" w14:textId="77777777" w:rsidR="008346E7" w:rsidRPr="006D6F56" w:rsidRDefault="008346E7" w:rsidP="006D6F56">
      <w:pPr>
        <w:spacing w:line="360" w:lineRule="auto"/>
        <w:ind w:firstLine="1418"/>
        <w:jc w:val="both"/>
        <w:rPr>
          <w:rFonts w:ascii="Cambria" w:hAnsi="Cambria" w:cs="Times New Roman"/>
          <w:sz w:val="22"/>
          <w:szCs w:val="22"/>
          <w:lang w:val="pt-BR"/>
        </w:rPr>
      </w:pPr>
    </w:p>
    <w:p w14:paraId="0B803615" w14:textId="5E348284" w:rsidR="00AB6B29" w:rsidRPr="006D6F56" w:rsidRDefault="00AD1BA2" w:rsidP="006D6F56">
      <w:pPr>
        <w:spacing w:line="360" w:lineRule="auto"/>
        <w:ind w:firstLine="1418"/>
        <w:jc w:val="both"/>
        <w:rPr>
          <w:rFonts w:ascii="Cambria" w:hAnsi="Cambria" w:cs="Times New Roman"/>
          <w:sz w:val="22"/>
          <w:szCs w:val="22"/>
          <w:lang w:val="pt-BR"/>
        </w:rPr>
      </w:pPr>
      <w:r w:rsidRPr="006D6F56">
        <w:rPr>
          <w:rFonts w:ascii="Cambria" w:hAnsi="Cambria" w:cs="Times New Roman"/>
          <w:sz w:val="22"/>
          <w:szCs w:val="22"/>
          <w:lang w:val="pt-BR"/>
        </w:rPr>
        <w:t>Em 10/10/2020 foi oferecida denúncia contra Caio das Dores pela suposta prática de crimes de estupro de vulnerável em continuidade delitiva, entre 22/04/2015 e 20/09/2020, contra sua enteada, M.  O processo foi distribuído à Vara dos Crimes Sexuais contra a Infância</w:t>
      </w:r>
      <w:r w:rsidR="004C4728" w:rsidRPr="006D6F56">
        <w:rPr>
          <w:rFonts w:ascii="Cambria" w:hAnsi="Cambria" w:cs="Times New Roman"/>
          <w:sz w:val="22"/>
          <w:szCs w:val="22"/>
          <w:lang w:val="pt-BR"/>
        </w:rPr>
        <w:t xml:space="preserve"> de Brasília</w:t>
      </w:r>
      <w:r w:rsidRPr="006D6F56">
        <w:rPr>
          <w:rFonts w:ascii="Cambria" w:hAnsi="Cambria" w:cs="Times New Roman"/>
          <w:sz w:val="22"/>
          <w:szCs w:val="22"/>
          <w:lang w:val="pt-BR"/>
        </w:rPr>
        <w:t xml:space="preserve">, criada pela </w:t>
      </w:r>
      <w:r w:rsidR="004C4728" w:rsidRPr="006D6F56">
        <w:rPr>
          <w:rFonts w:ascii="Cambria" w:hAnsi="Cambria" w:cs="Times New Roman"/>
          <w:sz w:val="22"/>
          <w:szCs w:val="22"/>
          <w:lang w:val="pt-BR"/>
        </w:rPr>
        <w:t xml:space="preserve">Resolução nº 123, </w:t>
      </w:r>
      <w:r w:rsidR="00BB1D18" w:rsidRPr="006D6F56">
        <w:rPr>
          <w:rFonts w:ascii="Cambria" w:hAnsi="Cambria" w:cs="Times New Roman"/>
          <w:sz w:val="22"/>
          <w:szCs w:val="22"/>
          <w:lang w:val="pt-BR"/>
        </w:rPr>
        <w:t>de 15/09/2020</w:t>
      </w:r>
      <w:r w:rsidR="004C4728" w:rsidRPr="006D6F56">
        <w:rPr>
          <w:rFonts w:ascii="Cambria" w:hAnsi="Cambria" w:cs="Times New Roman"/>
          <w:sz w:val="22"/>
          <w:szCs w:val="22"/>
          <w:lang w:val="pt-BR"/>
        </w:rPr>
        <w:t>, do Tribunal de Justiça do Distrito Federal e Territórios</w:t>
      </w:r>
      <w:r w:rsidR="00BB1D18" w:rsidRPr="006D6F56">
        <w:rPr>
          <w:rFonts w:ascii="Cambria" w:hAnsi="Cambria" w:cs="Times New Roman"/>
          <w:sz w:val="22"/>
          <w:szCs w:val="22"/>
          <w:lang w:val="pt-BR"/>
        </w:rPr>
        <w:t>,</w:t>
      </w:r>
      <w:r w:rsidRPr="006D6F56">
        <w:rPr>
          <w:rFonts w:ascii="Cambria" w:hAnsi="Cambria" w:cs="Times New Roman"/>
          <w:sz w:val="22"/>
          <w:szCs w:val="22"/>
          <w:lang w:val="pt-BR"/>
        </w:rPr>
        <w:t xml:space="preserve"> a qual </w:t>
      </w:r>
      <w:r w:rsidR="00706586" w:rsidRPr="006D6F56">
        <w:rPr>
          <w:rFonts w:ascii="Cambria" w:hAnsi="Cambria" w:cs="Times New Roman"/>
          <w:sz w:val="22"/>
          <w:szCs w:val="22"/>
          <w:lang w:val="pt-BR"/>
        </w:rPr>
        <w:t xml:space="preserve">estabeleceu nova hipótese de competência pela natureza da infração, no caso de crimes contra a dignidade sexual praticados contra vítimas menores de 14 anos.  </w:t>
      </w:r>
      <w:r w:rsidR="00BB1D18" w:rsidRPr="006D6F56">
        <w:rPr>
          <w:rFonts w:ascii="Cambria" w:hAnsi="Cambria" w:cs="Times New Roman"/>
          <w:sz w:val="22"/>
          <w:szCs w:val="22"/>
          <w:lang w:val="pt-BR"/>
        </w:rPr>
        <w:t xml:space="preserve">Referida </w:t>
      </w:r>
      <w:r w:rsidR="004C4728" w:rsidRPr="006D6F56">
        <w:rPr>
          <w:rFonts w:ascii="Cambria" w:hAnsi="Cambria" w:cs="Times New Roman"/>
          <w:sz w:val="22"/>
          <w:szCs w:val="22"/>
          <w:lang w:val="pt-BR"/>
        </w:rPr>
        <w:t xml:space="preserve">resolução </w:t>
      </w:r>
      <w:r w:rsidR="00BB1D18" w:rsidRPr="006D6F56">
        <w:rPr>
          <w:rFonts w:ascii="Cambria" w:hAnsi="Cambria" w:cs="Times New Roman"/>
          <w:sz w:val="22"/>
          <w:szCs w:val="22"/>
          <w:lang w:val="pt-BR"/>
        </w:rPr>
        <w:t xml:space="preserve">previa </w:t>
      </w:r>
      <w:r w:rsidRPr="006D6F56">
        <w:rPr>
          <w:rFonts w:ascii="Cambria" w:hAnsi="Cambria" w:cs="Times New Roman"/>
          <w:sz w:val="22"/>
          <w:szCs w:val="22"/>
          <w:lang w:val="pt-BR"/>
        </w:rPr>
        <w:t>uma “</w:t>
      </w:r>
      <w:proofErr w:type="spellStart"/>
      <w:r w:rsidRPr="006D6F56">
        <w:rPr>
          <w:rFonts w:ascii="Cambria" w:hAnsi="Cambria" w:cs="Times New Roman"/>
          <w:sz w:val="22"/>
          <w:szCs w:val="22"/>
          <w:lang w:val="pt-BR"/>
        </w:rPr>
        <w:t>vacatio</w:t>
      </w:r>
      <w:proofErr w:type="spellEnd"/>
      <w:r w:rsidRPr="006D6F56">
        <w:rPr>
          <w:rFonts w:ascii="Cambria" w:hAnsi="Cambria" w:cs="Times New Roman"/>
          <w:sz w:val="22"/>
          <w:szCs w:val="22"/>
          <w:lang w:val="pt-BR"/>
        </w:rPr>
        <w:t xml:space="preserve"> legis” de 15 dias.  A </w:t>
      </w:r>
      <w:r w:rsidR="004C4728" w:rsidRPr="006D6F56">
        <w:rPr>
          <w:rFonts w:ascii="Cambria" w:hAnsi="Cambria" w:cs="Times New Roman"/>
          <w:sz w:val="22"/>
          <w:szCs w:val="22"/>
          <w:lang w:val="pt-BR"/>
        </w:rPr>
        <w:t xml:space="preserve">promulgação da Resolução foi comemorada por </w:t>
      </w:r>
      <w:r w:rsidRPr="006D6F56">
        <w:rPr>
          <w:rFonts w:ascii="Cambria" w:hAnsi="Cambria" w:cs="Times New Roman"/>
          <w:sz w:val="22"/>
          <w:szCs w:val="22"/>
          <w:lang w:val="pt-BR"/>
        </w:rPr>
        <w:t xml:space="preserve">chefes dos Três Poderes, que, em entrevista coletiva, afirmaram que a criação da Vara especializada atende ao legítimo anseio social de maior rigor e celeridade na apuração de crimes sexuais </w:t>
      </w:r>
      <w:r w:rsidR="00BB1D18" w:rsidRPr="006D6F56">
        <w:rPr>
          <w:rFonts w:ascii="Cambria" w:hAnsi="Cambria" w:cs="Times New Roman"/>
          <w:sz w:val="22"/>
          <w:szCs w:val="22"/>
          <w:lang w:val="pt-BR"/>
        </w:rPr>
        <w:t>praticados contra vítim</w:t>
      </w:r>
      <w:r w:rsidR="004C4728" w:rsidRPr="006D6F56">
        <w:rPr>
          <w:rFonts w:ascii="Cambria" w:hAnsi="Cambria" w:cs="Times New Roman"/>
          <w:sz w:val="22"/>
          <w:szCs w:val="22"/>
          <w:lang w:val="pt-BR"/>
        </w:rPr>
        <w:t>as menores.  Em frente à sede do TJDFT</w:t>
      </w:r>
      <w:r w:rsidR="00BB1D18" w:rsidRPr="006D6F56">
        <w:rPr>
          <w:rFonts w:ascii="Cambria" w:hAnsi="Cambria" w:cs="Times New Roman"/>
          <w:sz w:val="22"/>
          <w:szCs w:val="22"/>
          <w:lang w:val="pt-BR"/>
        </w:rPr>
        <w:t xml:space="preserve">, </w:t>
      </w:r>
      <w:r w:rsidR="00AB6B29" w:rsidRPr="006D6F56">
        <w:rPr>
          <w:rFonts w:ascii="Cambria" w:hAnsi="Cambria" w:cs="Times New Roman"/>
          <w:sz w:val="22"/>
          <w:szCs w:val="22"/>
          <w:lang w:val="pt-BR"/>
        </w:rPr>
        <w:t>dividira</w:t>
      </w:r>
      <w:r w:rsidR="00BB1D18" w:rsidRPr="006D6F56">
        <w:rPr>
          <w:rFonts w:ascii="Cambria" w:hAnsi="Cambria" w:cs="Times New Roman"/>
          <w:sz w:val="22"/>
          <w:szCs w:val="22"/>
          <w:lang w:val="pt-BR"/>
        </w:rPr>
        <w:t>m-se dois grupos de manifestantes: defensores</w:t>
      </w:r>
      <w:r w:rsidR="004C4728" w:rsidRPr="006D6F56">
        <w:rPr>
          <w:rFonts w:ascii="Cambria" w:hAnsi="Cambria" w:cs="Times New Roman"/>
          <w:sz w:val="22"/>
          <w:szCs w:val="22"/>
          <w:lang w:val="pt-BR"/>
        </w:rPr>
        <w:t xml:space="preserve"> da Resolução</w:t>
      </w:r>
      <w:r w:rsidR="00BB1D18" w:rsidRPr="006D6F56">
        <w:rPr>
          <w:rFonts w:ascii="Cambria" w:hAnsi="Cambria" w:cs="Times New Roman"/>
          <w:sz w:val="22"/>
          <w:szCs w:val="22"/>
          <w:lang w:val="pt-BR"/>
        </w:rPr>
        <w:t xml:space="preserve">, que consideram que a medida é fundamental a uma maior </w:t>
      </w:r>
      <w:r w:rsidR="00D41B60" w:rsidRPr="006D6F56">
        <w:rPr>
          <w:rFonts w:ascii="Cambria" w:hAnsi="Cambria" w:cs="Times New Roman"/>
          <w:sz w:val="22"/>
          <w:szCs w:val="22"/>
          <w:lang w:val="pt-BR"/>
        </w:rPr>
        <w:t xml:space="preserve">agilidade </w:t>
      </w:r>
      <w:r w:rsidR="00BB1D18" w:rsidRPr="006D6F56">
        <w:rPr>
          <w:rFonts w:ascii="Cambria" w:hAnsi="Cambria" w:cs="Times New Roman"/>
          <w:sz w:val="22"/>
          <w:szCs w:val="22"/>
          <w:lang w:val="pt-BR"/>
        </w:rPr>
        <w:t>na apuração destes delitos e não ofende a Constituição da República, e críticos, que aduzem que</w:t>
      </w:r>
      <w:r w:rsidR="00AB6B29" w:rsidRPr="006D6F56">
        <w:rPr>
          <w:rFonts w:ascii="Cambria" w:hAnsi="Cambria" w:cs="Times New Roman"/>
          <w:sz w:val="22"/>
          <w:szCs w:val="22"/>
          <w:lang w:val="pt-BR"/>
        </w:rPr>
        <w:t xml:space="preserve"> </w:t>
      </w:r>
      <w:r w:rsidR="00BB1D18" w:rsidRPr="006D6F56">
        <w:rPr>
          <w:rFonts w:ascii="Cambria" w:hAnsi="Cambria" w:cs="Times New Roman"/>
          <w:sz w:val="22"/>
          <w:szCs w:val="22"/>
          <w:lang w:val="pt-BR"/>
        </w:rPr>
        <w:t>a tramitação em tempo recorde da Lei guarda relação com as notícias divulgadas pela</w:t>
      </w:r>
      <w:r w:rsidR="00AB6B29" w:rsidRPr="006D6F56">
        <w:rPr>
          <w:rFonts w:ascii="Cambria" w:hAnsi="Cambria" w:cs="Times New Roman"/>
          <w:sz w:val="22"/>
          <w:szCs w:val="22"/>
          <w:lang w:val="pt-BR"/>
        </w:rPr>
        <w:t xml:space="preserve"> imprensa em 10/09/2020 de que um grande</w:t>
      </w:r>
      <w:r w:rsidR="00BB1D18" w:rsidRPr="006D6F56">
        <w:rPr>
          <w:rFonts w:ascii="Cambria" w:hAnsi="Cambria" w:cs="Times New Roman"/>
          <w:sz w:val="22"/>
          <w:szCs w:val="22"/>
          <w:lang w:val="pt-BR"/>
        </w:rPr>
        <w:t xml:space="preserve"> líder </w:t>
      </w:r>
      <w:r w:rsidR="00AB6B29" w:rsidRPr="006D6F56">
        <w:rPr>
          <w:rFonts w:ascii="Cambria" w:hAnsi="Cambria" w:cs="Times New Roman"/>
          <w:sz w:val="22"/>
          <w:szCs w:val="22"/>
          <w:lang w:val="pt-BR"/>
        </w:rPr>
        <w:t xml:space="preserve">informal </w:t>
      </w:r>
      <w:r w:rsidR="00BB1D18" w:rsidRPr="006D6F56">
        <w:rPr>
          <w:rFonts w:ascii="Cambria" w:hAnsi="Cambria" w:cs="Times New Roman"/>
          <w:sz w:val="22"/>
          <w:szCs w:val="22"/>
          <w:lang w:val="pt-BR"/>
        </w:rPr>
        <w:t>da oposição estava</w:t>
      </w:r>
      <w:r w:rsidR="00AB6B29" w:rsidRPr="006D6F56">
        <w:rPr>
          <w:rFonts w:ascii="Cambria" w:hAnsi="Cambria" w:cs="Times New Roman"/>
          <w:sz w:val="22"/>
          <w:szCs w:val="22"/>
          <w:lang w:val="pt-BR"/>
        </w:rPr>
        <w:t xml:space="preserve"> sendo investigado pela polícia </w:t>
      </w:r>
      <w:r w:rsidR="00BB1D18" w:rsidRPr="006D6F56">
        <w:rPr>
          <w:rFonts w:ascii="Cambria" w:hAnsi="Cambria" w:cs="Times New Roman"/>
          <w:sz w:val="22"/>
          <w:szCs w:val="22"/>
          <w:lang w:val="pt-BR"/>
        </w:rPr>
        <w:t>pela suposta prática de crimes sexuais contra s</w:t>
      </w:r>
      <w:r w:rsidR="00AB6B29" w:rsidRPr="006D6F56">
        <w:rPr>
          <w:rFonts w:ascii="Cambria" w:hAnsi="Cambria" w:cs="Times New Roman"/>
          <w:sz w:val="22"/>
          <w:szCs w:val="22"/>
          <w:lang w:val="pt-BR"/>
        </w:rPr>
        <w:t>ua filha mais nova, e que o juiz titular da Vara dos Crimes Sexuais contra a Infância de Brasília, onde reside o líder da oposição, já manifestou em suas redes sociais apoio ao governo federal</w:t>
      </w:r>
      <w:r w:rsidR="00104054" w:rsidRPr="006D6F56">
        <w:rPr>
          <w:rFonts w:ascii="Cambria" w:hAnsi="Cambria" w:cs="Times New Roman"/>
          <w:sz w:val="22"/>
          <w:szCs w:val="22"/>
          <w:lang w:val="pt-BR"/>
        </w:rPr>
        <w:t xml:space="preserve"> e integrou uma comissão de juristas que redigiu proposta de emenda constitucional para tornar inafiançável e imprescritível o crime de estupro de vulnerável.  O TJDFT manifestou-se dizendo que a Resolução se limitou </w:t>
      </w:r>
      <w:r w:rsidR="00E12B31" w:rsidRPr="006D6F56">
        <w:rPr>
          <w:rFonts w:ascii="Cambria" w:hAnsi="Cambria" w:cs="Times New Roman"/>
          <w:sz w:val="22"/>
          <w:szCs w:val="22"/>
          <w:lang w:val="pt-BR"/>
        </w:rPr>
        <w:t>a reorganizar Varas já existentes e, portanto, não viola o ordenamento jurídico.</w:t>
      </w:r>
    </w:p>
    <w:p w14:paraId="04A256F3" w14:textId="77777777" w:rsidR="00BB1D18" w:rsidRPr="006D6F56" w:rsidRDefault="00BB1D18" w:rsidP="006D6F56">
      <w:pPr>
        <w:spacing w:line="360" w:lineRule="auto"/>
        <w:ind w:firstLine="1418"/>
        <w:jc w:val="both"/>
        <w:rPr>
          <w:rFonts w:ascii="Cambria" w:hAnsi="Cambria" w:cs="Times New Roman"/>
          <w:sz w:val="22"/>
          <w:szCs w:val="22"/>
          <w:lang w:val="pt-BR"/>
        </w:rPr>
      </w:pPr>
    </w:p>
    <w:p w14:paraId="2ACBC309" w14:textId="6551BF46" w:rsidR="00BB1D18" w:rsidRPr="006D6F56" w:rsidRDefault="008346E7" w:rsidP="006D6F56">
      <w:pPr>
        <w:spacing w:line="360" w:lineRule="auto"/>
        <w:ind w:firstLine="1418"/>
        <w:jc w:val="both"/>
        <w:rPr>
          <w:rFonts w:ascii="Cambria" w:hAnsi="Cambria" w:cs="Times New Roman"/>
          <w:sz w:val="22"/>
          <w:szCs w:val="22"/>
          <w:lang w:val="pt-BR"/>
        </w:rPr>
      </w:pPr>
      <w:r w:rsidRPr="006D6F56">
        <w:rPr>
          <w:rFonts w:ascii="Cambria" w:hAnsi="Cambria" w:cs="Times New Roman"/>
          <w:sz w:val="22"/>
          <w:szCs w:val="22"/>
          <w:lang w:val="pt-BR"/>
        </w:rPr>
        <w:t xml:space="preserve">Grupo 1 – defesa: redija uma petição </w:t>
      </w:r>
      <w:r w:rsidR="00BB1D18" w:rsidRPr="006D6F56">
        <w:rPr>
          <w:rFonts w:ascii="Cambria" w:hAnsi="Cambria" w:cs="Times New Roman"/>
          <w:sz w:val="22"/>
          <w:szCs w:val="22"/>
          <w:lang w:val="pt-BR"/>
        </w:rPr>
        <w:t>postulando a anulação do processo por incompetência do juízo</w:t>
      </w:r>
      <w:r w:rsidR="00451169" w:rsidRPr="006D6F56">
        <w:rPr>
          <w:rFonts w:ascii="Cambria" w:hAnsi="Cambria" w:cs="Times New Roman"/>
          <w:sz w:val="22"/>
          <w:szCs w:val="22"/>
          <w:lang w:val="pt-BR"/>
        </w:rPr>
        <w:t xml:space="preserve"> pela violação à garantia do juiz natural</w:t>
      </w:r>
      <w:r w:rsidR="00BB1D18" w:rsidRPr="006D6F56">
        <w:rPr>
          <w:rFonts w:ascii="Cambria" w:hAnsi="Cambria" w:cs="Times New Roman"/>
          <w:sz w:val="22"/>
          <w:szCs w:val="22"/>
          <w:lang w:val="pt-BR"/>
        </w:rPr>
        <w:t>.</w:t>
      </w:r>
    </w:p>
    <w:p w14:paraId="127E5B0B" w14:textId="59909513" w:rsidR="00AB6B29" w:rsidRPr="006D6F56" w:rsidRDefault="008346E7" w:rsidP="006D6F56">
      <w:pPr>
        <w:spacing w:line="360" w:lineRule="auto"/>
        <w:ind w:firstLine="1418"/>
        <w:jc w:val="both"/>
        <w:rPr>
          <w:rFonts w:ascii="Cambria" w:hAnsi="Cambria" w:cs="Times New Roman"/>
          <w:sz w:val="22"/>
          <w:szCs w:val="22"/>
          <w:lang w:val="pt-BR"/>
        </w:rPr>
      </w:pPr>
      <w:r w:rsidRPr="006D6F56">
        <w:rPr>
          <w:rFonts w:ascii="Cambria" w:hAnsi="Cambria" w:cs="Times New Roman"/>
          <w:sz w:val="22"/>
          <w:szCs w:val="22"/>
          <w:lang w:val="pt-BR"/>
        </w:rPr>
        <w:lastRenderedPageBreak/>
        <w:t xml:space="preserve">Grupo 2 – Ministério Público: redija uma manifestação contrária à </w:t>
      </w:r>
      <w:r w:rsidR="00AB6B29" w:rsidRPr="006D6F56">
        <w:rPr>
          <w:rFonts w:ascii="Cambria" w:hAnsi="Cambria" w:cs="Times New Roman"/>
          <w:sz w:val="22"/>
          <w:szCs w:val="22"/>
          <w:lang w:val="pt-BR"/>
        </w:rPr>
        <w:t xml:space="preserve">petição defensiva, </w:t>
      </w:r>
      <w:r w:rsidR="009F7E76" w:rsidRPr="006D6F56">
        <w:rPr>
          <w:rFonts w:ascii="Cambria" w:hAnsi="Cambria" w:cs="Times New Roman"/>
          <w:sz w:val="22"/>
          <w:szCs w:val="22"/>
          <w:lang w:val="pt-BR"/>
        </w:rPr>
        <w:t xml:space="preserve">sustentando </w:t>
      </w:r>
      <w:r w:rsidR="00451169" w:rsidRPr="006D6F56">
        <w:rPr>
          <w:rFonts w:ascii="Cambria" w:hAnsi="Cambria" w:cs="Times New Roman"/>
          <w:sz w:val="22"/>
          <w:szCs w:val="22"/>
          <w:lang w:val="pt-BR"/>
        </w:rPr>
        <w:t xml:space="preserve">a </w:t>
      </w:r>
      <w:r w:rsidR="00D41B60" w:rsidRPr="006D6F56">
        <w:rPr>
          <w:rFonts w:ascii="Cambria" w:hAnsi="Cambria" w:cs="Times New Roman"/>
          <w:sz w:val="22"/>
          <w:szCs w:val="22"/>
          <w:lang w:val="pt-BR"/>
        </w:rPr>
        <w:t>legitimidade da Vara dos Crimes Sexuais contra a Infância para o processamento do feito contra Caio das Dores.</w:t>
      </w:r>
    </w:p>
    <w:p w14:paraId="28521325" w14:textId="77777777" w:rsidR="006D6F56" w:rsidRPr="006D6F56" w:rsidRDefault="006D6F56" w:rsidP="006D6F56">
      <w:pPr>
        <w:spacing w:line="360" w:lineRule="auto"/>
        <w:jc w:val="both"/>
        <w:rPr>
          <w:rFonts w:ascii="Cambria" w:hAnsi="Cambria" w:cs="Times New Roman"/>
          <w:b/>
          <w:sz w:val="22"/>
          <w:szCs w:val="22"/>
          <w:lang w:val="pt-BR"/>
        </w:rPr>
      </w:pPr>
    </w:p>
    <w:p w14:paraId="2E2B5B28" w14:textId="77777777" w:rsidR="008346E7" w:rsidRPr="006D6F56" w:rsidRDefault="008346E7" w:rsidP="006D6F56">
      <w:pPr>
        <w:spacing w:line="360" w:lineRule="auto"/>
        <w:jc w:val="both"/>
        <w:rPr>
          <w:rFonts w:ascii="Cambria" w:hAnsi="Cambria" w:cs="Times New Roman"/>
          <w:b/>
          <w:sz w:val="22"/>
          <w:szCs w:val="22"/>
          <w:lang w:val="pt-BR"/>
        </w:rPr>
      </w:pPr>
      <w:r w:rsidRPr="006D6F56">
        <w:rPr>
          <w:rFonts w:ascii="Cambria" w:hAnsi="Cambria" w:cs="Times New Roman"/>
          <w:b/>
          <w:sz w:val="22"/>
          <w:szCs w:val="22"/>
          <w:lang w:val="pt-BR"/>
        </w:rPr>
        <w:t>. Caso 02</w:t>
      </w:r>
    </w:p>
    <w:p w14:paraId="21825242" w14:textId="54B67A49" w:rsidR="009850DA" w:rsidRPr="00E11BE5" w:rsidRDefault="008346E7" w:rsidP="00E11BE5">
      <w:pPr>
        <w:rPr>
          <w:rFonts w:ascii="Cambria" w:hAnsi="Cambria" w:cs="Times New Roman"/>
          <w:bCs/>
          <w:sz w:val="22"/>
          <w:szCs w:val="22"/>
          <w:lang w:val="pt-BR"/>
        </w:rPr>
      </w:pPr>
      <w:r w:rsidRPr="006D6F56">
        <w:rPr>
          <w:rFonts w:ascii="Cambria" w:hAnsi="Cambria" w:cs="Times New Roman"/>
          <w:bCs/>
          <w:sz w:val="22"/>
          <w:szCs w:val="22"/>
          <w:lang w:val="pt-BR"/>
        </w:rPr>
        <w:t>Subtema:</w:t>
      </w:r>
      <w:r w:rsidR="00E341BB" w:rsidRPr="006D6F56">
        <w:rPr>
          <w:rFonts w:ascii="Cambria" w:hAnsi="Cambria" w:cs="Times New Roman"/>
          <w:bCs/>
          <w:sz w:val="22"/>
          <w:szCs w:val="22"/>
          <w:lang w:val="pt-BR"/>
        </w:rPr>
        <w:t xml:space="preserve"> </w:t>
      </w:r>
      <w:r w:rsidR="00E11BE5">
        <w:rPr>
          <w:rFonts w:ascii="Cambria" w:hAnsi="Cambria" w:cs="Times New Roman"/>
          <w:bCs/>
          <w:sz w:val="22"/>
          <w:szCs w:val="22"/>
          <w:lang w:val="pt-BR"/>
        </w:rPr>
        <w:t xml:space="preserve">competência para o julgamento de crimes conexos e a </w:t>
      </w:r>
      <w:proofErr w:type="spellStart"/>
      <w:r w:rsidR="00E11BE5">
        <w:rPr>
          <w:rFonts w:ascii="Cambria" w:hAnsi="Cambria" w:cs="Times New Roman"/>
          <w:bCs/>
          <w:i/>
          <w:iCs/>
          <w:sz w:val="22"/>
          <w:szCs w:val="22"/>
          <w:lang w:val="pt-BR"/>
        </w:rPr>
        <w:t>perpetuatio</w:t>
      </w:r>
      <w:proofErr w:type="spellEnd"/>
      <w:r w:rsidR="00E11BE5">
        <w:rPr>
          <w:rFonts w:ascii="Cambria" w:hAnsi="Cambria" w:cs="Times New Roman"/>
          <w:bCs/>
          <w:i/>
          <w:iCs/>
          <w:sz w:val="22"/>
          <w:szCs w:val="22"/>
          <w:lang w:val="pt-BR"/>
        </w:rPr>
        <w:t xml:space="preserve"> </w:t>
      </w:r>
      <w:proofErr w:type="spellStart"/>
      <w:r w:rsidR="00E11BE5">
        <w:rPr>
          <w:rFonts w:ascii="Cambria" w:hAnsi="Cambria" w:cs="Times New Roman"/>
          <w:bCs/>
          <w:i/>
          <w:iCs/>
          <w:sz w:val="22"/>
          <w:szCs w:val="22"/>
          <w:lang w:val="pt-BR"/>
        </w:rPr>
        <w:t>jurisdictionis</w:t>
      </w:r>
      <w:proofErr w:type="spellEnd"/>
    </w:p>
    <w:p w14:paraId="70515A27" w14:textId="4200D658" w:rsidR="00DD6971" w:rsidRDefault="00DD6971" w:rsidP="00DD6971">
      <w:pPr>
        <w:spacing w:line="360" w:lineRule="auto"/>
        <w:jc w:val="both"/>
        <w:rPr>
          <w:rFonts w:ascii="Cambria" w:hAnsi="Cambria" w:cs="Times New Roman"/>
          <w:bCs/>
          <w:sz w:val="22"/>
          <w:szCs w:val="22"/>
          <w:lang w:val="pt-BR"/>
        </w:rPr>
      </w:pPr>
    </w:p>
    <w:p w14:paraId="3FE79305" w14:textId="527D4A57" w:rsidR="007C1A4F" w:rsidRDefault="00E231BE" w:rsidP="00DD6971">
      <w:pPr>
        <w:spacing w:line="360" w:lineRule="auto"/>
        <w:ind w:firstLine="1418"/>
        <w:jc w:val="both"/>
        <w:rPr>
          <w:rFonts w:ascii="Cambria" w:hAnsi="Cambria" w:cs="Times New Roman"/>
          <w:bCs/>
          <w:sz w:val="22"/>
          <w:szCs w:val="22"/>
          <w:lang w:val="pt-BR"/>
        </w:rPr>
      </w:pPr>
      <w:r>
        <w:rPr>
          <w:rFonts w:ascii="Cambria" w:hAnsi="Cambria" w:cs="Times New Roman"/>
          <w:bCs/>
          <w:sz w:val="22"/>
          <w:szCs w:val="22"/>
          <w:lang w:val="pt-BR"/>
        </w:rPr>
        <w:t xml:space="preserve">Antônio A. está sendo processado perante a Justiça Eleitoral pela suposta prática do crime previsto no artigo 350 do Código Eleitoral, pois teria supostamente omitido, nos documentos de prestação de contas de sua campanha eleitoral à reeleição da Prefeitura de Assis, </w:t>
      </w:r>
      <w:r w:rsidR="007D0DB1">
        <w:rPr>
          <w:rFonts w:ascii="Cambria" w:hAnsi="Cambria" w:cs="Times New Roman"/>
          <w:bCs/>
          <w:sz w:val="22"/>
          <w:szCs w:val="22"/>
          <w:lang w:val="pt-BR"/>
        </w:rPr>
        <w:t xml:space="preserve">cinco milhões de reais </w:t>
      </w:r>
      <w:r>
        <w:rPr>
          <w:rFonts w:ascii="Cambria" w:hAnsi="Cambria" w:cs="Times New Roman"/>
          <w:bCs/>
          <w:sz w:val="22"/>
          <w:szCs w:val="22"/>
          <w:lang w:val="pt-BR"/>
        </w:rPr>
        <w:t xml:space="preserve">recebidos de uma grande construtora.  </w:t>
      </w:r>
      <w:r w:rsidR="007D0DB1">
        <w:rPr>
          <w:rFonts w:ascii="Cambria" w:hAnsi="Cambria" w:cs="Times New Roman"/>
          <w:bCs/>
          <w:sz w:val="22"/>
          <w:szCs w:val="22"/>
          <w:lang w:val="pt-BR"/>
        </w:rPr>
        <w:t xml:space="preserve">Durante o seu interrogatório, Antônio A. relata ter sido os valores diretamente do presidente da construtora, Thiago T., que lhe teria solicitado auxílio na obtenção de alvarás junto à prefeitura.  No dia seguinte ao seu interrogatório, </w:t>
      </w:r>
      <w:r w:rsidR="007C1A4F">
        <w:rPr>
          <w:rFonts w:ascii="Cambria" w:hAnsi="Cambria" w:cs="Times New Roman"/>
          <w:bCs/>
          <w:sz w:val="22"/>
          <w:szCs w:val="22"/>
          <w:lang w:val="pt-BR"/>
        </w:rPr>
        <w:t xml:space="preserve">foi concedida liberdade provisória a </w:t>
      </w:r>
      <w:r w:rsidR="007D0DB1">
        <w:rPr>
          <w:rFonts w:ascii="Cambria" w:hAnsi="Cambria" w:cs="Times New Roman"/>
          <w:bCs/>
          <w:sz w:val="22"/>
          <w:szCs w:val="22"/>
          <w:lang w:val="pt-BR"/>
        </w:rPr>
        <w:t xml:space="preserve">Antônio A., que estava sob custódia cautelar há </w:t>
      </w:r>
      <w:r w:rsidR="007C1A4F">
        <w:rPr>
          <w:rFonts w:ascii="Cambria" w:hAnsi="Cambria" w:cs="Times New Roman"/>
          <w:bCs/>
          <w:sz w:val="22"/>
          <w:szCs w:val="22"/>
          <w:lang w:val="pt-BR"/>
        </w:rPr>
        <w:t xml:space="preserve">aproximadamente dois anos.  Diante dos fatos narrados por Antônio A., Thiago T. foi denunciado </w:t>
      </w:r>
      <w:r>
        <w:rPr>
          <w:rFonts w:ascii="Cambria" w:hAnsi="Cambria" w:cs="Times New Roman"/>
          <w:bCs/>
          <w:sz w:val="22"/>
          <w:szCs w:val="22"/>
          <w:lang w:val="pt-BR"/>
        </w:rPr>
        <w:t>perante a Justiça Eleitoral pela suposta prática do crime previsto no artigo 333 do Código Penal</w:t>
      </w:r>
      <w:r w:rsidR="007C1A4F">
        <w:rPr>
          <w:rFonts w:ascii="Cambria" w:hAnsi="Cambria" w:cs="Times New Roman"/>
          <w:bCs/>
          <w:sz w:val="22"/>
          <w:szCs w:val="22"/>
          <w:lang w:val="pt-BR"/>
        </w:rPr>
        <w:t>.  Após o oferecimento da denúncia, o Procurador de Justiça destacou os esforços da instituição no combate incansável à corrupção.  Dez dias depois, Antônio A. foi absolvido por falta de provas do crime de caixa dois.  Não houve recurso da acusação.  A defesa de Thiago T. apresentou petição ao juízo requerendo a remessa dos autos à Justiça Estadual, tendo em vista que o processo que ensejou a atração do feito de Thiago T. à Justiça Eleitoral culminou com uma absolvição.  O juízo eleitoral indeferiu o pedido defensivo</w:t>
      </w:r>
      <w:r w:rsidR="00E11BE5">
        <w:rPr>
          <w:rFonts w:ascii="Cambria" w:hAnsi="Cambria" w:cs="Times New Roman"/>
          <w:bCs/>
          <w:sz w:val="22"/>
          <w:szCs w:val="22"/>
          <w:lang w:val="pt-BR"/>
        </w:rPr>
        <w:t xml:space="preserve"> em 10/10/2020</w:t>
      </w:r>
      <w:r w:rsidR="007C1A4F">
        <w:rPr>
          <w:rFonts w:ascii="Cambria" w:hAnsi="Cambria" w:cs="Times New Roman"/>
          <w:bCs/>
          <w:sz w:val="22"/>
          <w:szCs w:val="22"/>
          <w:lang w:val="pt-BR"/>
        </w:rPr>
        <w:t>, com fundamento no artigo 81 do Código de Processo Penal</w:t>
      </w:r>
      <w:r w:rsidR="00E11BE5">
        <w:rPr>
          <w:rFonts w:ascii="Cambria" w:hAnsi="Cambria" w:cs="Times New Roman"/>
          <w:bCs/>
          <w:sz w:val="22"/>
          <w:szCs w:val="22"/>
          <w:lang w:val="pt-BR"/>
        </w:rPr>
        <w:t>, na mesma decisão em que determinou a citação do acusado</w:t>
      </w:r>
      <w:r w:rsidR="007C1A4F">
        <w:rPr>
          <w:rFonts w:ascii="Cambria" w:hAnsi="Cambria" w:cs="Times New Roman"/>
          <w:bCs/>
          <w:sz w:val="22"/>
          <w:szCs w:val="22"/>
          <w:lang w:val="pt-BR"/>
        </w:rPr>
        <w:t>.</w:t>
      </w:r>
      <w:r w:rsidR="00E11BE5">
        <w:rPr>
          <w:rFonts w:ascii="Cambria" w:hAnsi="Cambria" w:cs="Times New Roman"/>
          <w:bCs/>
          <w:sz w:val="22"/>
          <w:szCs w:val="22"/>
          <w:lang w:val="pt-BR"/>
        </w:rPr>
        <w:t xml:space="preserve">  </w:t>
      </w:r>
    </w:p>
    <w:p w14:paraId="334DB96E" w14:textId="77777777" w:rsidR="00242490" w:rsidRDefault="00242490" w:rsidP="006D6F56">
      <w:pPr>
        <w:spacing w:line="360" w:lineRule="auto"/>
        <w:ind w:firstLine="1418"/>
        <w:jc w:val="both"/>
        <w:rPr>
          <w:rFonts w:ascii="Cambria" w:hAnsi="Cambria" w:cs="Times New Roman"/>
          <w:bCs/>
          <w:sz w:val="22"/>
          <w:szCs w:val="22"/>
          <w:lang w:val="pt-BR"/>
        </w:rPr>
      </w:pPr>
    </w:p>
    <w:p w14:paraId="7BF4B076" w14:textId="3CF43F1E" w:rsidR="00D4244C" w:rsidRDefault="00CC7B50" w:rsidP="006D6F56">
      <w:pPr>
        <w:spacing w:line="360" w:lineRule="auto"/>
        <w:ind w:firstLine="1418"/>
        <w:jc w:val="both"/>
        <w:rPr>
          <w:rFonts w:ascii="Cambria" w:hAnsi="Cambria" w:cs="Times New Roman"/>
          <w:bCs/>
          <w:sz w:val="22"/>
          <w:szCs w:val="22"/>
          <w:lang w:val="pt-BR"/>
        </w:rPr>
      </w:pPr>
      <w:r w:rsidRPr="006D6F56">
        <w:rPr>
          <w:rFonts w:ascii="Cambria" w:hAnsi="Cambria" w:cs="Times New Roman"/>
          <w:bCs/>
          <w:sz w:val="22"/>
          <w:szCs w:val="22"/>
          <w:lang w:val="pt-BR"/>
        </w:rPr>
        <w:t xml:space="preserve">Grupo 1 – </w:t>
      </w:r>
      <w:r w:rsidR="00D4244C">
        <w:rPr>
          <w:rFonts w:ascii="Cambria" w:hAnsi="Cambria" w:cs="Times New Roman"/>
          <w:bCs/>
          <w:sz w:val="22"/>
          <w:szCs w:val="22"/>
          <w:lang w:val="pt-BR"/>
        </w:rPr>
        <w:t>defesa</w:t>
      </w:r>
      <w:r w:rsidRPr="006D6F56">
        <w:rPr>
          <w:rFonts w:ascii="Cambria" w:hAnsi="Cambria" w:cs="Times New Roman"/>
          <w:bCs/>
          <w:sz w:val="22"/>
          <w:szCs w:val="22"/>
          <w:lang w:val="pt-BR"/>
        </w:rPr>
        <w:t>: redija</w:t>
      </w:r>
      <w:r w:rsidR="005F7A03" w:rsidRPr="006D6F56">
        <w:rPr>
          <w:rFonts w:ascii="Cambria" w:hAnsi="Cambria" w:cs="Times New Roman"/>
          <w:bCs/>
          <w:sz w:val="22"/>
          <w:szCs w:val="22"/>
          <w:lang w:val="pt-BR"/>
        </w:rPr>
        <w:t xml:space="preserve"> </w:t>
      </w:r>
      <w:r w:rsidR="00D4244C">
        <w:rPr>
          <w:rFonts w:ascii="Cambria" w:hAnsi="Cambria" w:cs="Times New Roman"/>
          <w:bCs/>
          <w:sz w:val="22"/>
          <w:szCs w:val="22"/>
          <w:lang w:val="pt-BR"/>
        </w:rPr>
        <w:t xml:space="preserve">uma petição ao </w:t>
      </w:r>
      <w:r w:rsidR="00E11BE5">
        <w:rPr>
          <w:rFonts w:ascii="Cambria" w:hAnsi="Cambria" w:cs="Times New Roman"/>
          <w:bCs/>
          <w:sz w:val="22"/>
          <w:szCs w:val="22"/>
          <w:lang w:val="pt-BR"/>
        </w:rPr>
        <w:t xml:space="preserve">Tribunal Superior Eleitoral </w:t>
      </w:r>
      <w:r w:rsidR="00D4244C">
        <w:rPr>
          <w:rFonts w:ascii="Cambria" w:hAnsi="Cambria" w:cs="Times New Roman"/>
          <w:bCs/>
          <w:sz w:val="22"/>
          <w:szCs w:val="22"/>
          <w:lang w:val="pt-BR"/>
        </w:rPr>
        <w:t xml:space="preserve">requerendo a </w:t>
      </w:r>
      <w:r w:rsidR="00E11BE5">
        <w:rPr>
          <w:rFonts w:ascii="Cambria" w:hAnsi="Cambria" w:cs="Times New Roman"/>
          <w:bCs/>
          <w:sz w:val="22"/>
          <w:szCs w:val="22"/>
          <w:lang w:val="pt-BR"/>
        </w:rPr>
        <w:t>remessa do processo à Justiça Estadual</w:t>
      </w:r>
      <w:r w:rsidR="00D4244C">
        <w:rPr>
          <w:rFonts w:ascii="Cambria" w:hAnsi="Cambria" w:cs="Times New Roman"/>
          <w:bCs/>
          <w:sz w:val="22"/>
          <w:szCs w:val="22"/>
          <w:lang w:val="pt-BR"/>
        </w:rPr>
        <w:t>.</w:t>
      </w:r>
    </w:p>
    <w:p w14:paraId="79426D00" w14:textId="67D77A12" w:rsidR="00CC7B50" w:rsidRPr="006D6F56" w:rsidRDefault="00CC7B50" w:rsidP="006D6F56">
      <w:pPr>
        <w:spacing w:line="360" w:lineRule="auto"/>
        <w:ind w:firstLine="1418"/>
        <w:jc w:val="both"/>
        <w:rPr>
          <w:rFonts w:ascii="Cambria" w:hAnsi="Cambria" w:cs="Times New Roman"/>
          <w:bCs/>
          <w:sz w:val="22"/>
          <w:szCs w:val="22"/>
          <w:lang w:val="pt-BR"/>
        </w:rPr>
      </w:pPr>
      <w:r w:rsidRPr="006D6F56">
        <w:rPr>
          <w:rFonts w:ascii="Cambria" w:hAnsi="Cambria" w:cs="Times New Roman"/>
          <w:bCs/>
          <w:sz w:val="22"/>
          <w:szCs w:val="22"/>
          <w:lang w:val="pt-BR"/>
        </w:rPr>
        <w:t xml:space="preserve">Grupo 2 – </w:t>
      </w:r>
      <w:r w:rsidR="00D4244C">
        <w:rPr>
          <w:rFonts w:ascii="Cambria" w:hAnsi="Cambria" w:cs="Times New Roman"/>
          <w:bCs/>
          <w:sz w:val="22"/>
          <w:szCs w:val="22"/>
          <w:lang w:val="pt-BR"/>
        </w:rPr>
        <w:t>Ministério Público</w:t>
      </w:r>
      <w:r w:rsidR="005F7A03" w:rsidRPr="006D6F56">
        <w:rPr>
          <w:rFonts w:ascii="Cambria" w:hAnsi="Cambria" w:cs="Times New Roman"/>
          <w:bCs/>
          <w:sz w:val="22"/>
          <w:szCs w:val="22"/>
          <w:lang w:val="pt-BR"/>
        </w:rPr>
        <w:t xml:space="preserve">: redija </w:t>
      </w:r>
      <w:r w:rsidR="00D4244C">
        <w:rPr>
          <w:rFonts w:ascii="Cambria" w:hAnsi="Cambria" w:cs="Times New Roman"/>
          <w:bCs/>
          <w:sz w:val="22"/>
          <w:szCs w:val="22"/>
          <w:lang w:val="pt-BR"/>
        </w:rPr>
        <w:t xml:space="preserve">uma petição contrária à manifestação defensiva, sustentando a </w:t>
      </w:r>
      <w:r w:rsidR="00E11BE5">
        <w:rPr>
          <w:rFonts w:ascii="Cambria" w:hAnsi="Cambria" w:cs="Times New Roman"/>
          <w:bCs/>
          <w:sz w:val="22"/>
          <w:szCs w:val="22"/>
          <w:lang w:val="pt-BR"/>
        </w:rPr>
        <w:t>competência da Justiça Eleitoral para o processamento do feito</w:t>
      </w:r>
      <w:r w:rsidR="005F7A03" w:rsidRPr="006D6F56">
        <w:rPr>
          <w:rFonts w:ascii="Cambria" w:hAnsi="Cambria" w:cs="Times New Roman"/>
          <w:bCs/>
          <w:sz w:val="22"/>
          <w:szCs w:val="22"/>
          <w:lang w:val="pt-BR"/>
        </w:rPr>
        <w:t>.</w:t>
      </w:r>
    </w:p>
    <w:p w14:paraId="57FED71A" w14:textId="77777777" w:rsidR="0060692E" w:rsidRPr="006D6F56" w:rsidRDefault="0060692E" w:rsidP="006D6F56">
      <w:pPr>
        <w:spacing w:line="360" w:lineRule="auto"/>
        <w:ind w:firstLine="1418"/>
        <w:jc w:val="both"/>
        <w:rPr>
          <w:rFonts w:ascii="Cambria" w:hAnsi="Cambria" w:cs="Times New Roman"/>
          <w:bCs/>
          <w:sz w:val="22"/>
          <w:szCs w:val="22"/>
          <w:lang w:val="pt-BR"/>
        </w:rPr>
      </w:pPr>
    </w:p>
    <w:p w14:paraId="668ED3B0" w14:textId="77777777" w:rsidR="00CC7B50" w:rsidRPr="006D6F56" w:rsidRDefault="00CC7B50" w:rsidP="006D6F56">
      <w:pPr>
        <w:spacing w:line="360" w:lineRule="auto"/>
        <w:jc w:val="both"/>
        <w:rPr>
          <w:rFonts w:ascii="Cambria" w:hAnsi="Cambria" w:cs="Times New Roman"/>
          <w:bCs/>
          <w:sz w:val="22"/>
          <w:szCs w:val="22"/>
          <w:lang w:val="pt-BR"/>
        </w:rPr>
      </w:pPr>
      <w:r w:rsidRPr="006D6F56">
        <w:rPr>
          <w:rFonts w:ascii="Cambria" w:hAnsi="Cambria" w:cs="Times New Roman"/>
          <w:b/>
          <w:sz w:val="22"/>
          <w:szCs w:val="22"/>
          <w:lang w:val="pt-BR"/>
        </w:rPr>
        <w:t>. Caso 03</w:t>
      </w:r>
    </w:p>
    <w:p w14:paraId="105BFF93" w14:textId="63245D88" w:rsidR="00CC7B50" w:rsidRPr="006D6F56" w:rsidRDefault="00CC7B50" w:rsidP="006D6F56">
      <w:pPr>
        <w:spacing w:line="360" w:lineRule="auto"/>
        <w:jc w:val="both"/>
        <w:rPr>
          <w:rFonts w:ascii="Cambria" w:hAnsi="Cambria" w:cs="Times New Roman"/>
          <w:bCs/>
          <w:sz w:val="22"/>
          <w:szCs w:val="22"/>
          <w:lang w:val="pt-BR"/>
        </w:rPr>
      </w:pPr>
      <w:r w:rsidRPr="006D6F56">
        <w:rPr>
          <w:rFonts w:ascii="Cambria" w:hAnsi="Cambria" w:cs="Times New Roman"/>
          <w:bCs/>
          <w:sz w:val="22"/>
          <w:szCs w:val="22"/>
          <w:lang w:val="pt-BR"/>
        </w:rPr>
        <w:t xml:space="preserve">Subtema: </w:t>
      </w:r>
      <w:r w:rsidR="006D6F56" w:rsidRPr="006D6F56">
        <w:rPr>
          <w:rFonts w:ascii="Cambria" w:hAnsi="Cambria" w:cs="Times New Roman"/>
          <w:bCs/>
          <w:sz w:val="22"/>
          <w:szCs w:val="22"/>
          <w:lang w:val="pt-BR"/>
        </w:rPr>
        <w:t xml:space="preserve">foro por prerrogativa de função </w:t>
      </w:r>
    </w:p>
    <w:p w14:paraId="6FB538E0" w14:textId="77777777" w:rsidR="006D6F56" w:rsidRPr="006D6F56" w:rsidRDefault="006D6F56" w:rsidP="006D6F56">
      <w:pPr>
        <w:spacing w:line="360" w:lineRule="auto"/>
        <w:jc w:val="both"/>
        <w:rPr>
          <w:rFonts w:ascii="Cambria" w:hAnsi="Cambria" w:cs="Times New Roman"/>
          <w:bCs/>
          <w:sz w:val="22"/>
          <w:szCs w:val="22"/>
          <w:lang w:val="pt-BR"/>
        </w:rPr>
      </w:pPr>
    </w:p>
    <w:p w14:paraId="05250DD7" w14:textId="46455A71" w:rsidR="006D6F56" w:rsidRPr="005D6925" w:rsidRDefault="006D6F56" w:rsidP="006D6F56">
      <w:pPr>
        <w:spacing w:line="360" w:lineRule="auto"/>
        <w:ind w:firstLine="1418"/>
        <w:jc w:val="both"/>
        <w:rPr>
          <w:rFonts w:ascii="Cambria" w:hAnsi="Cambria" w:cs="Times New Roman"/>
          <w:sz w:val="22"/>
          <w:szCs w:val="22"/>
          <w:lang w:val="pt-BR"/>
        </w:rPr>
      </w:pPr>
      <w:r w:rsidRPr="005D6925">
        <w:rPr>
          <w:rFonts w:ascii="Cambria" w:hAnsi="Cambria" w:cs="Times New Roman"/>
          <w:sz w:val="22"/>
          <w:szCs w:val="22"/>
          <w:lang w:val="pt-BR"/>
        </w:rPr>
        <w:t xml:space="preserve">No ano seguinte a sua formatura na mais prestigiada faculdade de Direito do país, Maria candidatou-se </w:t>
      </w:r>
      <w:r w:rsidR="009E4B2B" w:rsidRPr="005D6925">
        <w:rPr>
          <w:rFonts w:ascii="Cambria" w:hAnsi="Cambria" w:cs="Times New Roman"/>
          <w:sz w:val="22"/>
          <w:szCs w:val="22"/>
          <w:lang w:val="pt-BR"/>
        </w:rPr>
        <w:t>ao cargo de</w:t>
      </w:r>
      <w:r w:rsidRPr="005D6925">
        <w:rPr>
          <w:rFonts w:ascii="Cambria" w:hAnsi="Cambria" w:cs="Times New Roman"/>
          <w:sz w:val="22"/>
          <w:szCs w:val="22"/>
          <w:lang w:val="pt-BR"/>
        </w:rPr>
        <w:t xml:space="preserve"> v</w:t>
      </w:r>
      <w:bookmarkStart w:id="2" w:name="_GoBack"/>
      <w:bookmarkEnd w:id="2"/>
      <w:r w:rsidRPr="005D6925">
        <w:rPr>
          <w:rFonts w:ascii="Cambria" w:hAnsi="Cambria" w:cs="Times New Roman"/>
          <w:sz w:val="22"/>
          <w:szCs w:val="22"/>
          <w:lang w:val="pt-BR"/>
        </w:rPr>
        <w:t xml:space="preserve">ereadora da sua cidade no interior de São Paulo. </w:t>
      </w:r>
      <w:r w:rsidRPr="005D6925">
        <w:rPr>
          <w:rFonts w:ascii="Cambria" w:hAnsi="Cambria" w:cs="Times New Roman"/>
          <w:sz w:val="22"/>
          <w:szCs w:val="22"/>
          <w:lang w:val="pt-BR"/>
        </w:rPr>
        <w:lastRenderedPageBreak/>
        <w:t>Foi eleita e tomou posse no cargo em 01 de janeiro de 2017. Ocorre que</w:t>
      </w:r>
      <w:r w:rsidR="009E4B2B" w:rsidRPr="005D6925">
        <w:rPr>
          <w:rFonts w:ascii="Cambria" w:hAnsi="Cambria" w:cs="Times New Roman"/>
          <w:sz w:val="22"/>
          <w:szCs w:val="22"/>
          <w:lang w:val="pt-BR"/>
        </w:rPr>
        <w:t>,</w:t>
      </w:r>
      <w:r w:rsidRPr="005D6925">
        <w:rPr>
          <w:rFonts w:ascii="Cambria" w:hAnsi="Cambria" w:cs="Times New Roman"/>
          <w:sz w:val="22"/>
          <w:szCs w:val="22"/>
          <w:lang w:val="pt-BR"/>
        </w:rPr>
        <w:t xml:space="preserve"> em 2018, motivada pelo sucesso da sua carreira política, Maria decidiu se candidatar ao cargo de deputada federal. Engajada e esforçada</w:t>
      </w:r>
      <w:proofErr w:type="gramStart"/>
      <w:r w:rsidRPr="005D6925">
        <w:rPr>
          <w:rFonts w:ascii="Cambria" w:hAnsi="Cambria" w:cs="Times New Roman"/>
          <w:sz w:val="22"/>
          <w:szCs w:val="22"/>
          <w:lang w:val="pt-BR"/>
        </w:rPr>
        <w:t>, conseguiu</w:t>
      </w:r>
      <w:proofErr w:type="gramEnd"/>
      <w:r w:rsidRPr="005D6925">
        <w:rPr>
          <w:rFonts w:ascii="Cambria" w:hAnsi="Cambria" w:cs="Times New Roman"/>
          <w:sz w:val="22"/>
          <w:szCs w:val="22"/>
          <w:lang w:val="pt-BR"/>
        </w:rPr>
        <w:t xml:space="preserve"> conquistar o apoio de vários eleitores </w:t>
      </w:r>
      <w:r w:rsidR="009E4B2B" w:rsidRPr="005D6925">
        <w:rPr>
          <w:rFonts w:ascii="Cambria" w:hAnsi="Cambria" w:cs="Times New Roman"/>
          <w:sz w:val="22"/>
          <w:szCs w:val="22"/>
          <w:lang w:val="pt-BR"/>
        </w:rPr>
        <w:t xml:space="preserve">da região </w:t>
      </w:r>
      <w:r w:rsidRPr="005D6925">
        <w:rPr>
          <w:rFonts w:ascii="Cambria" w:hAnsi="Cambria" w:cs="Times New Roman"/>
          <w:sz w:val="22"/>
          <w:szCs w:val="22"/>
          <w:lang w:val="pt-BR"/>
        </w:rPr>
        <w:t xml:space="preserve">e foi </w:t>
      </w:r>
      <w:r w:rsidR="009E4B2B" w:rsidRPr="005D6925">
        <w:rPr>
          <w:rFonts w:ascii="Cambria" w:hAnsi="Cambria" w:cs="Times New Roman"/>
          <w:sz w:val="22"/>
          <w:szCs w:val="22"/>
          <w:lang w:val="pt-BR"/>
        </w:rPr>
        <w:t>eleita</w:t>
      </w:r>
      <w:r w:rsidR="00A26171">
        <w:rPr>
          <w:rFonts w:ascii="Cambria" w:hAnsi="Cambria" w:cs="Times New Roman"/>
          <w:sz w:val="22"/>
          <w:szCs w:val="22"/>
          <w:lang w:val="pt-BR"/>
        </w:rPr>
        <w:t xml:space="preserve"> </w:t>
      </w:r>
      <w:r w:rsidRPr="005D6925">
        <w:rPr>
          <w:rFonts w:ascii="Cambria" w:hAnsi="Cambria" w:cs="Times New Roman"/>
          <w:sz w:val="22"/>
          <w:szCs w:val="22"/>
          <w:lang w:val="pt-BR"/>
        </w:rPr>
        <w:t xml:space="preserve">para o exercício do tão sonhado cargo. Maria trabalhava todos os dias de forma árdua e se dedicava intensamente no desempenho de suas funções. Contudo, aos 05 de fevereiro de 2019, foi denunciada pela prática do delito previsto no art. 147 do Código Penal. A ação penal foi ajuizada perante o Supremo Tribunal Federal, tendo sido a deputada federal acusada de ameaçar, por palavras, um jornalista do mais renomado telejornal do país, por meio de mensagens no aplicativo </w:t>
      </w:r>
      <w:proofErr w:type="spellStart"/>
      <w:r w:rsidRPr="005D6925">
        <w:rPr>
          <w:rFonts w:ascii="Cambria" w:hAnsi="Cambria" w:cs="Times New Roman"/>
          <w:i/>
          <w:sz w:val="22"/>
          <w:szCs w:val="22"/>
          <w:lang w:val="pt-BR"/>
        </w:rPr>
        <w:t>Whatsapp</w:t>
      </w:r>
      <w:proofErr w:type="spellEnd"/>
      <w:r w:rsidRPr="005D6925">
        <w:rPr>
          <w:rFonts w:ascii="Cambria" w:hAnsi="Cambria" w:cs="Times New Roman"/>
          <w:sz w:val="22"/>
          <w:szCs w:val="22"/>
          <w:lang w:val="pt-BR"/>
        </w:rPr>
        <w:t xml:space="preserve">, trocadas na data de 20 de setembro de 2018. Com o oferecimento da denúncia, o Ministério Público Federal propôs transação penal. A proposta de transação penal foi recusada pela acusada. A defesa foi notificada e foi aberto o prazo de 15 dias para oferecimento de resposta, nos termos doa art. 4º, da Lei nº 8.038/90. </w:t>
      </w:r>
    </w:p>
    <w:p w14:paraId="7990A600" w14:textId="77777777" w:rsidR="006D6F56" w:rsidRPr="006D6F56" w:rsidRDefault="006D6F56" w:rsidP="006D6F56">
      <w:pPr>
        <w:spacing w:line="360" w:lineRule="auto"/>
        <w:ind w:firstLine="1418"/>
        <w:jc w:val="both"/>
        <w:rPr>
          <w:rFonts w:ascii="Cambria" w:hAnsi="Cambria" w:cs="Times New Roman"/>
          <w:sz w:val="22"/>
          <w:szCs w:val="22"/>
          <w:lang w:val="pt-BR"/>
        </w:rPr>
      </w:pPr>
      <w:r w:rsidRPr="006D6F56">
        <w:rPr>
          <w:rFonts w:ascii="Cambria" w:hAnsi="Cambria" w:cs="Times New Roman"/>
          <w:sz w:val="22"/>
          <w:szCs w:val="22"/>
          <w:lang w:val="pt-BR"/>
        </w:rPr>
        <w:t>Grupo 1 – def</w:t>
      </w:r>
      <w:r w:rsidRPr="005D6925">
        <w:rPr>
          <w:rFonts w:ascii="Cambria" w:hAnsi="Cambria" w:cs="Times New Roman"/>
          <w:sz w:val="22"/>
          <w:szCs w:val="22"/>
          <w:lang w:val="pt-BR"/>
        </w:rPr>
        <w:t xml:space="preserve">esa: na resposta prevista no art. 4º, da Lei nº 8.038/90, requeira o declínio da competência para um dos Juizados Especiais Criminais de Brasília, apresentando argumentos contrários ao foro por prerrogativa de função.  </w:t>
      </w:r>
    </w:p>
    <w:p w14:paraId="3D3D5758" w14:textId="77777777" w:rsidR="006D6F56" w:rsidRPr="005D6925" w:rsidRDefault="006D6F56" w:rsidP="006D6F56">
      <w:pPr>
        <w:spacing w:line="360" w:lineRule="auto"/>
        <w:ind w:firstLine="1418"/>
        <w:jc w:val="both"/>
        <w:rPr>
          <w:rFonts w:ascii="Cambria" w:hAnsi="Cambria" w:cs="Times New Roman"/>
          <w:sz w:val="22"/>
          <w:szCs w:val="22"/>
          <w:lang w:val="pt-BR"/>
        </w:rPr>
      </w:pPr>
      <w:r w:rsidRPr="005D6925">
        <w:rPr>
          <w:rFonts w:ascii="Cambria" w:hAnsi="Cambria" w:cs="Times New Roman"/>
          <w:sz w:val="22"/>
          <w:szCs w:val="22"/>
          <w:lang w:val="pt-BR"/>
        </w:rPr>
        <w:t>Grupo 2 – Procuradoria Geral da República</w:t>
      </w:r>
      <w:r w:rsidRPr="006D6F56">
        <w:rPr>
          <w:rFonts w:ascii="Cambria" w:hAnsi="Cambria" w:cs="Times New Roman"/>
          <w:sz w:val="22"/>
          <w:szCs w:val="22"/>
          <w:lang w:val="pt-BR"/>
        </w:rPr>
        <w:t xml:space="preserve">: </w:t>
      </w:r>
      <w:r w:rsidRPr="005D6925">
        <w:rPr>
          <w:rFonts w:ascii="Cambria" w:hAnsi="Cambria" w:cs="Times New Roman"/>
          <w:sz w:val="22"/>
          <w:szCs w:val="22"/>
          <w:lang w:val="pt-BR"/>
        </w:rPr>
        <w:t xml:space="preserve">diante da juntada de documentos pela acusada, na forma do artigo 5º, da Lei nº 8.038/90, manifeste-se contra o declínio da competência para o Juizado Especial Criminal, apresentando argumentos favoráveis ao foro por prerrogativa de função. </w:t>
      </w:r>
    </w:p>
    <w:p w14:paraId="5081A620" w14:textId="77777777" w:rsidR="006846A6" w:rsidRPr="006D6F56" w:rsidRDefault="006846A6" w:rsidP="006D6F56">
      <w:pPr>
        <w:spacing w:line="360" w:lineRule="auto"/>
        <w:jc w:val="both"/>
        <w:rPr>
          <w:rFonts w:ascii="Cambria" w:hAnsi="Cambria" w:cs="Times New Roman"/>
          <w:b/>
          <w:sz w:val="22"/>
          <w:szCs w:val="22"/>
          <w:lang w:val="pt-BR"/>
        </w:rPr>
      </w:pPr>
    </w:p>
    <w:p w14:paraId="18CEF87D" w14:textId="77777777" w:rsidR="00CC7B50" w:rsidRPr="006D6F56" w:rsidRDefault="00CC7B50" w:rsidP="006D6F56">
      <w:pPr>
        <w:spacing w:line="360" w:lineRule="auto"/>
        <w:jc w:val="both"/>
        <w:rPr>
          <w:rFonts w:ascii="Cambria" w:hAnsi="Cambria" w:cs="Times New Roman"/>
          <w:bCs/>
          <w:sz w:val="22"/>
          <w:szCs w:val="22"/>
          <w:lang w:val="pt-BR"/>
        </w:rPr>
      </w:pPr>
      <w:r w:rsidRPr="006D6F56">
        <w:rPr>
          <w:rFonts w:ascii="Cambria" w:hAnsi="Cambria" w:cs="Times New Roman"/>
          <w:b/>
          <w:sz w:val="22"/>
          <w:szCs w:val="22"/>
          <w:lang w:val="pt-BR"/>
        </w:rPr>
        <w:t>. Caso 04</w:t>
      </w:r>
    </w:p>
    <w:p w14:paraId="571F853D" w14:textId="356BE48F" w:rsidR="00CC7B50" w:rsidRDefault="00CC7B50" w:rsidP="006D6F56">
      <w:pPr>
        <w:spacing w:line="360" w:lineRule="auto"/>
        <w:jc w:val="both"/>
        <w:rPr>
          <w:rFonts w:ascii="Cambria" w:hAnsi="Cambria" w:cs="Times New Roman"/>
          <w:bCs/>
          <w:sz w:val="22"/>
          <w:szCs w:val="22"/>
          <w:lang w:val="pt-BR"/>
        </w:rPr>
      </w:pPr>
      <w:r w:rsidRPr="006D6F56">
        <w:rPr>
          <w:rFonts w:ascii="Cambria" w:hAnsi="Cambria" w:cs="Times New Roman"/>
          <w:bCs/>
          <w:sz w:val="22"/>
          <w:szCs w:val="22"/>
          <w:lang w:val="pt-BR"/>
        </w:rPr>
        <w:t xml:space="preserve">Subtema: </w:t>
      </w:r>
      <w:r w:rsidR="006D6F56">
        <w:rPr>
          <w:rFonts w:ascii="Cambria" w:hAnsi="Cambria" w:cs="Times New Roman"/>
          <w:bCs/>
          <w:sz w:val="22"/>
          <w:szCs w:val="22"/>
          <w:lang w:val="pt-BR"/>
        </w:rPr>
        <w:t xml:space="preserve">incidente de deslocamento da competência para a Justiça Federal, em crimes que violam direitos humanos </w:t>
      </w:r>
    </w:p>
    <w:p w14:paraId="4DA7B231" w14:textId="77777777" w:rsidR="006D6F56" w:rsidRDefault="006D6F56" w:rsidP="006D6F56">
      <w:pPr>
        <w:spacing w:line="360" w:lineRule="auto"/>
        <w:jc w:val="both"/>
        <w:rPr>
          <w:rFonts w:ascii="Cambria" w:hAnsi="Cambria" w:cs="Times New Roman"/>
          <w:bCs/>
          <w:sz w:val="22"/>
          <w:szCs w:val="22"/>
          <w:lang w:val="pt-BR"/>
        </w:rPr>
      </w:pPr>
    </w:p>
    <w:p w14:paraId="072C04DD" w14:textId="434C2F62" w:rsidR="006D6F56" w:rsidRPr="006D6F56" w:rsidRDefault="000263E1" w:rsidP="006D6F56">
      <w:pPr>
        <w:spacing w:line="360" w:lineRule="auto"/>
        <w:ind w:firstLine="1418"/>
        <w:jc w:val="both"/>
        <w:rPr>
          <w:rFonts w:ascii="Cambria" w:hAnsi="Cambria" w:cs="Times New Roman"/>
          <w:bCs/>
          <w:sz w:val="22"/>
          <w:szCs w:val="22"/>
          <w:lang w:val="pt-BR"/>
        </w:rPr>
      </w:pPr>
      <w:r>
        <w:rPr>
          <w:rFonts w:ascii="Cambria" w:hAnsi="Cambria" w:cs="Times New Roman"/>
          <w:bCs/>
          <w:sz w:val="22"/>
          <w:szCs w:val="22"/>
          <w:lang w:val="pt-BR"/>
        </w:rPr>
        <w:t xml:space="preserve">Na manhã </w:t>
      </w:r>
      <w:r w:rsidR="00F06EA3">
        <w:rPr>
          <w:rFonts w:ascii="Cambria" w:hAnsi="Cambria" w:cs="Times New Roman"/>
          <w:bCs/>
          <w:sz w:val="22"/>
          <w:szCs w:val="22"/>
          <w:lang w:val="pt-BR"/>
        </w:rPr>
        <w:t>de 20 de maio de 2019</w:t>
      </w:r>
      <w:r>
        <w:rPr>
          <w:rFonts w:ascii="Cambria" w:hAnsi="Cambria" w:cs="Times New Roman"/>
          <w:bCs/>
          <w:sz w:val="22"/>
          <w:szCs w:val="22"/>
          <w:lang w:val="pt-BR"/>
        </w:rPr>
        <w:t xml:space="preserve">, os principais noticiários do país relatavam a tragédia ocorrida no bairro de Paraisópolis, na cidade de São Paulo. Na madrugada de tal data, doze jovens entre 17 e 23 anos foram mortos por oito policiais militares. Segundo as notícias que eram divulgadas na manhã do dia 20 de maio, os policiais, em patrulhamento de rotina, depararam-se com os jovens em atitude suspeita de tráfico de drogas. Um dos jovens, conhecido pela alcunha de “Baixinho” nos meios policiais, desferiu um tiro </w:t>
      </w:r>
      <w:r w:rsidR="00F06EA3">
        <w:rPr>
          <w:rFonts w:ascii="Cambria" w:hAnsi="Cambria" w:cs="Times New Roman"/>
          <w:bCs/>
          <w:sz w:val="22"/>
          <w:szCs w:val="22"/>
          <w:lang w:val="pt-BR"/>
        </w:rPr>
        <w:t>contra um dos agentes policiais, o que desencadeou um intenso tiroteio. No entanto, conforme foi apurado, somente “Baixinho” estava armado, não havendo, portanto, chances de reação por parte das</w:t>
      </w:r>
      <w:r w:rsidR="009A4DBC">
        <w:rPr>
          <w:rFonts w:ascii="Cambria" w:hAnsi="Cambria" w:cs="Times New Roman"/>
          <w:bCs/>
          <w:sz w:val="22"/>
          <w:szCs w:val="22"/>
          <w:lang w:val="pt-BR"/>
        </w:rPr>
        <w:t xml:space="preserve"> vítimas. Até a data de 02 de maio de 2020, a fase preliminar da persecução penal sequer havia sido concluída, o que gerou grande insatisfação da sociedade em relação aos órgãos estatais que atuavam no caso. A </w:t>
      </w:r>
      <w:r w:rsidR="009A4DBC">
        <w:rPr>
          <w:rFonts w:ascii="Cambria" w:hAnsi="Cambria" w:cs="Times New Roman"/>
          <w:bCs/>
          <w:sz w:val="22"/>
          <w:szCs w:val="22"/>
          <w:lang w:val="pt-BR"/>
        </w:rPr>
        <w:lastRenderedPageBreak/>
        <w:t xml:space="preserve">ONG Justiça </w:t>
      </w:r>
      <w:r w:rsidR="009E4B2B">
        <w:rPr>
          <w:rFonts w:ascii="Cambria" w:hAnsi="Cambria" w:cs="Times New Roman"/>
          <w:bCs/>
          <w:sz w:val="22"/>
          <w:szCs w:val="22"/>
          <w:lang w:val="pt-BR"/>
        </w:rPr>
        <w:t>Para T</w:t>
      </w:r>
      <w:r w:rsidR="009A4DBC">
        <w:rPr>
          <w:rFonts w:ascii="Cambria" w:hAnsi="Cambria" w:cs="Times New Roman"/>
          <w:bCs/>
          <w:sz w:val="22"/>
          <w:szCs w:val="22"/>
          <w:lang w:val="pt-BR"/>
        </w:rPr>
        <w:t xml:space="preserve">odos apresentou uma representação contra o governo brasileiro perante a ONU e perante a Comissão Interamericana de Direitos Humanos, gerando a recomendação de que o Brasil realizasse uma investigação completa, imparcial e efetiva da violação aos direitos humanos, o que resultou na provocação feita pelo Ministério Público ao Superior Tribunal de Justiça. </w:t>
      </w:r>
    </w:p>
    <w:p w14:paraId="4A33F156" w14:textId="77777777" w:rsidR="00354F25" w:rsidRPr="006D6F56" w:rsidRDefault="00354F25" w:rsidP="006D6F56">
      <w:pPr>
        <w:spacing w:line="360" w:lineRule="auto"/>
        <w:ind w:firstLine="1418"/>
        <w:jc w:val="both"/>
        <w:rPr>
          <w:rFonts w:ascii="Cambria" w:hAnsi="Cambria" w:cs="Times New Roman"/>
          <w:sz w:val="22"/>
          <w:szCs w:val="22"/>
          <w:lang w:val="pt-BR"/>
        </w:rPr>
      </w:pPr>
    </w:p>
    <w:p w14:paraId="33B651A6" w14:textId="1195D90B" w:rsidR="006846A6" w:rsidRPr="006D6F56" w:rsidRDefault="006846A6" w:rsidP="006D6F56">
      <w:pPr>
        <w:spacing w:line="360" w:lineRule="auto"/>
        <w:ind w:firstLine="1418"/>
        <w:jc w:val="both"/>
        <w:rPr>
          <w:rFonts w:ascii="Cambria" w:hAnsi="Cambria" w:cs="Times New Roman"/>
          <w:bCs/>
          <w:sz w:val="22"/>
          <w:szCs w:val="22"/>
          <w:lang w:val="pt-BR"/>
        </w:rPr>
      </w:pPr>
      <w:r w:rsidRPr="006D6F56">
        <w:rPr>
          <w:rFonts w:ascii="Cambria" w:hAnsi="Cambria" w:cs="Times New Roman"/>
          <w:bCs/>
          <w:sz w:val="22"/>
          <w:szCs w:val="22"/>
          <w:lang w:val="pt-BR"/>
        </w:rPr>
        <w:t xml:space="preserve">Grupo 1 – defesa: </w:t>
      </w:r>
      <w:r w:rsidR="009A4DBC">
        <w:rPr>
          <w:rFonts w:ascii="Cambria" w:hAnsi="Cambria" w:cs="Times New Roman"/>
          <w:bCs/>
          <w:sz w:val="22"/>
          <w:szCs w:val="22"/>
          <w:lang w:val="pt-BR"/>
        </w:rPr>
        <w:t xml:space="preserve">Como membro da Defensoria Pública do Estado de São Paulo, redija um parecer jurídico </w:t>
      </w:r>
      <w:r w:rsidR="00BA38CF">
        <w:rPr>
          <w:rFonts w:ascii="Cambria" w:hAnsi="Cambria" w:cs="Times New Roman"/>
          <w:bCs/>
          <w:sz w:val="22"/>
          <w:szCs w:val="22"/>
          <w:lang w:val="pt-BR"/>
        </w:rPr>
        <w:t xml:space="preserve">manifestando-se pela manutenção das investigações do caso pela Polícia Civil do Estado de São Paulo. </w:t>
      </w:r>
    </w:p>
    <w:p w14:paraId="746720C6" w14:textId="43E7FE2D" w:rsidR="006846A6" w:rsidRPr="006D6F56" w:rsidRDefault="006846A6" w:rsidP="006D6F56">
      <w:pPr>
        <w:spacing w:line="360" w:lineRule="auto"/>
        <w:ind w:firstLine="1418"/>
        <w:jc w:val="both"/>
        <w:rPr>
          <w:rFonts w:ascii="Cambria" w:hAnsi="Cambria" w:cs="Times New Roman"/>
          <w:bCs/>
          <w:sz w:val="22"/>
          <w:szCs w:val="22"/>
          <w:lang w:val="pt-BR"/>
        </w:rPr>
      </w:pPr>
      <w:r w:rsidRPr="006D6F56">
        <w:rPr>
          <w:rFonts w:ascii="Cambria" w:hAnsi="Cambria" w:cs="Times New Roman"/>
          <w:bCs/>
          <w:sz w:val="22"/>
          <w:szCs w:val="22"/>
          <w:lang w:val="pt-BR"/>
        </w:rPr>
        <w:t xml:space="preserve">Grupo 2 – Ministério Público: </w:t>
      </w:r>
      <w:r w:rsidR="00BA38CF">
        <w:rPr>
          <w:rFonts w:ascii="Cambria" w:hAnsi="Cambria" w:cs="Times New Roman"/>
          <w:bCs/>
          <w:sz w:val="22"/>
          <w:szCs w:val="22"/>
          <w:lang w:val="pt-BR"/>
        </w:rPr>
        <w:t>Na condição de Procurador/a-Geral da República, requeira ao Superior Tribunal de Justiça o deslocamento de competência do caso à Justiça Federal.</w:t>
      </w:r>
    </w:p>
    <w:p w14:paraId="32F2714B" w14:textId="77777777" w:rsidR="006846A6" w:rsidRPr="006D6F56" w:rsidRDefault="006846A6" w:rsidP="006D6F56">
      <w:pPr>
        <w:spacing w:line="360" w:lineRule="auto"/>
        <w:ind w:firstLine="1418"/>
        <w:jc w:val="both"/>
        <w:rPr>
          <w:rFonts w:ascii="Cambria" w:hAnsi="Cambria" w:cs="Times New Roman"/>
          <w:sz w:val="22"/>
          <w:szCs w:val="22"/>
          <w:lang w:val="pt-BR"/>
        </w:rPr>
      </w:pPr>
    </w:p>
    <w:p w14:paraId="19F125F6" w14:textId="77777777" w:rsidR="006846A6" w:rsidRPr="006D6F56" w:rsidRDefault="006846A6" w:rsidP="006D6F56">
      <w:pPr>
        <w:spacing w:line="360" w:lineRule="auto"/>
        <w:ind w:firstLine="1418"/>
        <w:jc w:val="both"/>
        <w:rPr>
          <w:rFonts w:ascii="Cambria" w:hAnsi="Cambria" w:cs="Times New Roman"/>
          <w:sz w:val="22"/>
          <w:szCs w:val="22"/>
          <w:lang w:val="pt-BR"/>
        </w:rPr>
      </w:pPr>
    </w:p>
    <w:p w14:paraId="534A0E6E" w14:textId="77777777" w:rsidR="006846A6" w:rsidRPr="006D6F56" w:rsidRDefault="006846A6" w:rsidP="006D6F56">
      <w:pPr>
        <w:spacing w:line="360" w:lineRule="auto"/>
        <w:jc w:val="both"/>
        <w:rPr>
          <w:rFonts w:ascii="Cambria" w:hAnsi="Cambria" w:cs="Times New Roman"/>
          <w:bCs/>
          <w:sz w:val="22"/>
          <w:szCs w:val="22"/>
          <w:lang w:val="pt-BR"/>
        </w:rPr>
      </w:pPr>
    </w:p>
    <w:p w14:paraId="5B18776A" w14:textId="77777777" w:rsidR="00CC7B50" w:rsidRPr="006D6F56" w:rsidRDefault="00CC7B50" w:rsidP="006D6F56">
      <w:pPr>
        <w:spacing w:line="360" w:lineRule="auto"/>
        <w:ind w:firstLine="1418"/>
        <w:jc w:val="both"/>
        <w:rPr>
          <w:rFonts w:ascii="Cambria" w:hAnsi="Cambria" w:cs="Times New Roman"/>
          <w:bCs/>
          <w:sz w:val="22"/>
          <w:szCs w:val="22"/>
          <w:lang w:val="pt-BR"/>
        </w:rPr>
      </w:pPr>
    </w:p>
    <w:p w14:paraId="54A9F519" w14:textId="77777777" w:rsidR="00CC7B50" w:rsidRPr="006D6F56" w:rsidRDefault="00CC7B50" w:rsidP="006D6F56">
      <w:pPr>
        <w:spacing w:line="360" w:lineRule="auto"/>
        <w:ind w:firstLine="1418"/>
        <w:jc w:val="both"/>
        <w:rPr>
          <w:rFonts w:ascii="Cambria" w:hAnsi="Cambria" w:cs="Times New Roman"/>
          <w:bCs/>
          <w:sz w:val="22"/>
          <w:szCs w:val="22"/>
          <w:lang w:val="pt-BR"/>
        </w:rPr>
      </w:pPr>
    </w:p>
    <w:p w14:paraId="172CA6E3" w14:textId="77777777" w:rsidR="008346E7" w:rsidRPr="006D6F56" w:rsidRDefault="008346E7" w:rsidP="006D6F56">
      <w:pPr>
        <w:spacing w:line="360" w:lineRule="auto"/>
        <w:jc w:val="both"/>
        <w:rPr>
          <w:rFonts w:ascii="Cambria" w:hAnsi="Cambria" w:cs="Times New Roman"/>
          <w:bCs/>
          <w:sz w:val="22"/>
          <w:szCs w:val="22"/>
          <w:lang w:val="pt-BR"/>
        </w:rPr>
      </w:pPr>
    </w:p>
    <w:sectPr w:rsidR="008346E7" w:rsidRPr="006D6F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1A1E33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BEA67" w16cex:dateUtc="2020-10-22T14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1A1E33F" w16cid:durableId="233BEA6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A9A7F" w14:textId="77777777" w:rsidR="00CA4782" w:rsidRDefault="00CA4782" w:rsidP="005F7A03">
      <w:r>
        <w:separator/>
      </w:r>
    </w:p>
  </w:endnote>
  <w:endnote w:type="continuationSeparator" w:id="0">
    <w:p w14:paraId="09C39A8C" w14:textId="77777777" w:rsidR="00CA4782" w:rsidRDefault="00CA4782" w:rsidP="005F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3CD93" w14:textId="77777777" w:rsidR="00CA4782" w:rsidRDefault="00CA4782" w:rsidP="005F7A03">
      <w:r>
        <w:separator/>
      </w:r>
    </w:p>
  </w:footnote>
  <w:footnote w:type="continuationSeparator" w:id="0">
    <w:p w14:paraId="2F472F90" w14:textId="77777777" w:rsidR="00CA4782" w:rsidRDefault="00CA4782" w:rsidP="005F7A0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ta Cristina Cury Saad Gimenes">
    <w15:presenceInfo w15:providerId="AD" w15:userId="S::marta.saad@veirano.com.br::03bedce2-3f1c-474d-9480-de67ab277074"/>
  </w15:person>
  <w15:person w15:author="Pedro Henrique Arcuri Gouveia">
    <w15:presenceInfo w15:providerId="None" w15:userId="Pedro Henrique Arcuri Gouve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5F"/>
    <w:rsid w:val="000263E1"/>
    <w:rsid w:val="0004408A"/>
    <w:rsid w:val="00060605"/>
    <w:rsid w:val="00097C46"/>
    <w:rsid w:val="00104054"/>
    <w:rsid w:val="001542DF"/>
    <w:rsid w:val="00157374"/>
    <w:rsid w:val="00171307"/>
    <w:rsid w:val="0019106A"/>
    <w:rsid w:val="001C4720"/>
    <w:rsid w:val="00242490"/>
    <w:rsid w:val="002A23AD"/>
    <w:rsid w:val="002A504B"/>
    <w:rsid w:val="00354F25"/>
    <w:rsid w:val="003B3C04"/>
    <w:rsid w:val="00415C4B"/>
    <w:rsid w:val="00451169"/>
    <w:rsid w:val="0049735F"/>
    <w:rsid w:val="004B1206"/>
    <w:rsid w:val="004C4728"/>
    <w:rsid w:val="004D4BCD"/>
    <w:rsid w:val="00561520"/>
    <w:rsid w:val="005C3EE9"/>
    <w:rsid w:val="005D073E"/>
    <w:rsid w:val="005D6925"/>
    <w:rsid w:val="005F7A03"/>
    <w:rsid w:val="0060692E"/>
    <w:rsid w:val="00654DEA"/>
    <w:rsid w:val="00674F93"/>
    <w:rsid w:val="006846A6"/>
    <w:rsid w:val="006D6F56"/>
    <w:rsid w:val="00706586"/>
    <w:rsid w:val="00794A9F"/>
    <w:rsid w:val="007C1A4F"/>
    <w:rsid w:val="007D0DB1"/>
    <w:rsid w:val="008346E7"/>
    <w:rsid w:val="008906A4"/>
    <w:rsid w:val="008A651B"/>
    <w:rsid w:val="008B2DB2"/>
    <w:rsid w:val="009049F7"/>
    <w:rsid w:val="009850DA"/>
    <w:rsid w:val="00990E96"/>
    <w:rsid w:val="009A4DBC"/>
    <w:rsid w:val="009E4B2B"/>
    <w:rsid w:val="009F7E76"/>
    <w:rsid w:val="00A1254D"/>
    <w:rsid w:val="00A1307D"/>
    <w:rsid w:val="00A26171"/>
    <w:rsid w:val="00AB6B29"/>
    <w:rsid w:val="00AD1BA2"/>
    <w:rsid w:val="00AE08DF"/>
    <w:rsid w:val="00B1533C"/>
    <w:rsid w:val="00B661FD"/>
    <w:rsid w:val="00BA38CF"/>
    <w:rsid w:val="00BB1D18"/>
    <w:rsid w:val="00C07E0D"/>
    <w:rsid w:val="00C90543"/>
    <w:rsid w:val="00CA4782"/>
    <w:rsid w:val="00CC7B50"/>
    <w:rsid w:val="00D41B60"/>
    <w:rsid w:val="00D4244C"/>
    <w:rsid w:val="00D601C5"/>
    <w:rsid w:val="00DD2C45"/>
    <w:rsid w:val="00DD6971"/>
    <w:rsid w:val="00E11BE5"/>
    <w:rsid w:val="00E12B31"/>
    <w:rsid w:val="00E231BE"/>
    <w:rsid w:val="00E341BB"/>
    <w:rsid w:val="00E77836"/>
    <w:rsid w:val="00E77A8B"/>
    <w:rsid w:val="00EF5A62"/>
    <w:rsid w:val="00F06EA3"/>
    <w:rsid w:val="00F6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63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35F"/>
    <w:pPr>
      <w:spacing w:after="0" w:line="240" w:lineRule="auto"/>
    </w:pPr>
    <w:rPr>
      <w:sz w:val="24"/>
      <w:szCs w:val="24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5F7A03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F7A03"/>
    <w:rPr>
      <w:sz w:val="24"/>
      <w:szCs w:val="24"/>
      <w:lang w:val="es-ES_tradnl"/>
    </w:rPr>
  </w:style>
  <w:style w:type="character" w:styleId="Refdenotaderodap">
    <w:name w:val="footnote reference"/>
    <w:basedOn w:val="Fontepargpadro"/>
    <w:uiPriority w:val="99"/>
    <w:unhideWhenUsed/>
    <w:rsid w:val="005F7A03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4B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B2B"/>
    <w:rPr>
      <w:rFonts w:ascii="Segoe UI" w:hAnsi="Segoe UI" w:cs="Segoe UI"/>
      <w:sz w:val="18"/>
      <w:szCs w:val="18"/>
      <w:lang w:val="es-ES_tradnl"/>
    </w:rPr>
  </w:style>
  <w:style w:type="character" w:styleId="Refdecomentrio">
    <w:name w:val="annotation reference"/>
    <w:basedOn w:val="Fontepargpadro"/>
    <w:uiPriority w:val="99"/>
    <w:semiHidden/>
    <w:unhideWhenUsed/>
    <w:rsid w:val="009E4B2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4B2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4B2B"/>
    <w:rPr>
      <w:sz w:val="20"/>
      <w:szCs w:val="20"/>
      <w:lang w:val="es-ES_tradn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4B2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4B2B"/>
    <w:rPr>
      <w:b/>
      <w:bCs/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35F"/>
    <w:pPr>
      <w:spacing w:after="0" w:line="240" w:lineRule="auto"/>
    </w:pPr>
    <w:rPr>
      <w:sz w:val="24"/>
      <w:szCs w:val="24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5F7A03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F7A03"/>
    <w:rPr>
      <w:sz w:val="24"/>
      <w:szCs w:val="24"/>
      <w:lang w:val="es-ES_tradnl"/>
    </w:rPr>
  </w:style>
  <w:style w:type="character" w:styleId="Refdenotaderodap">
    <w:name w:val="footnote reference"/>
    <w:basedOn w:val="Fontepargpadro"/>
    <w:uiPriority w:val="99"/>
    <w:unhideWhenUsed/>
    <w:rsid w:val="005F7A03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4B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B2B"/>
    <w:rPr>
      <w:rFonts w:ascii="Segoe UI" w:hAnsi="Segoe UI" w:cs="Segoe UI"/>
      <w:sz w:val="18"/>
      <w:szCs w:val="18"/>
      <w:lang w:val="es-ES_tradnl"/>
    </w:rPr>
  </w:style>
  <w:style w:type="character" w:styleId="Refdecomentrio">
    <w:name w:val="annotation reference"/>
    <w:basedOn w:val="Fontepargpadro"/>
    <w:uiPriority w:val="99"/>
    <w:semiHidden/>
    <w:unhideWhenUsed/>
    <w:rsid w:val="009E4B2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4B2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4B2B"/>
    <w:rPr>
      <w:sz w:val="20"/>
      <w:szCs w:val="20"/>
      <w:lang w:val="es-ES_tradn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4B2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4B2B"/>
    <w:rPr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BNT_Author.XSL" StyleName="ABNT NBR 6023:2002*"/>
</file>

<file path=customXml/itemProps1.xml><?xml version="1.0" encoding="utf-8"?>
<ds:datastoreItem xmlns:ds="http://schemas.openxmlformats.org/officeDocument/2006/customXml" ds:itemID="{797C8BF1-B145-4629-A8C7-AB024523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1231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HENRIQUE ARCURI GOUVEIA</dc:creator>
  <cp:lastModifiedBy>ryu</cp:lastModifiedBy>
  <cp:revision>2</cp:revision>
  <dcterms:created xsi:type="dcterms:W3CDTF">2020-10-23T02:16:00Z</dcterms:created>
  <dcterms:modified xsi:type="dcterms:W3CDTF">2020-10-23T02:16:00Z</dcterms:modified>
</cp:coreProperties>
</file>