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547B" w14:textId="77777777" w:rsidR="00F5606C" w:rsidRPr="002750EF" w:rsidRDefault="00F5606C" w:rsidP="00F5606C">
      <w:pPr>
        <w:spacing w:after="0" w:line="360" w:lineRule="auto"/>
        <w:jc w:val="center"/>
        <w:rPr>
          <w:rFonts w:ascii="Times New Roman" w:hAnsi="Times New Roman" w:cs="Times New Roman"/>
          <w:b/>
          <w:bCs/>
          <w:sz w:val="24"/>
          <w:szCs w:val="24"/>
        </w:rPr>
      </w:pPr>
      <w:r w:rsidRPr="002750EF">
        <w:rPr>
          <w:rFonts w:ascii="Times New Roman" w:hAnsi="Times New Roman" w:cs="Times New Roman"/>
          <w:b/>
          <w:bCs/>
          <w:sz w:val="24"/>
          <w:szCs w:val="24"/>
        </w:rPr>
        <w:t>UNIVERSIDADE DE SÃO PAULO</w:t>
      </w:r>
    </w:p>
    <w:p w14:paraId="37A7ADBA" w14:textId="77777777" w:rsidR="00F5606C" w:rsidRPr="002750EF" w:rsidRDefault="00F5606C" w:rsidP="00F5606C">
      <w:pPr>
        <w:spacing w:after="0" w:line="360" w:lineRule="auto"/>
        <w:jc w:val="center"/>
        <w:rPr>
          <w:rFonts w:ascii="Times New Roman" w:hAnsi="Times New Roman" w:cs="Times New Roman"/>
          <w:b/>
          <w:bCs/>
          <w:sz w:val="24"/>
          <w:szCs w:val="24"/>
        </w:rPr>
      </w:pPr>
      <w:r w:rsidRPr="002750EF">
        <w:rPr>
          <w:rFonts w:ascii="Times New Roman" w:hAnsi="Times New Roman" w:cs="Times New Roman"/>
          <w:b/>
          <w:bCs/>
          <w:sz w:val="24"/>
          <w:szCs w:val="24"/>
        </w:rPr>
        <w:t>FACULDADE DE DIREITO DO LARGO SÃO FRANCISCO</w:t>
      </w:r>
    </w:p>
    <w:p w14:paraId="36C09781" w14:textId="77777777" w:rsidR="00F5606C" w:rsidRDefault="00F5606C" w:rsidP="00F5606C">
      <w:pPr>
        <w:spacing w:after="0" w:line="360" w:lineRule="auto"/>
        <w:jc w:val="center"/>
        <w:rPr>
          <w:rFonts w:ascii="Times New Roman" w:hAnsi="Times New Roman" w:cs="Times New Roman"/>
          <w:b/>
          <w:bCs/>
          <w:sz w:val="24"/>
          <w:szCs w:val="24"/>
        </w:rPr>
      </w:pPr>
      <w:r w:rsidRPr="002750EF">
        <w:rPr>
          <w:rFonts w:ascii="Times New Roman" w:hAnsi="Times New Roman" w:cs="Times New Roman"/>
          <w:b/>
          <w:bCs/>
          <w:sz w:val="24"/>
          <w:szCs w:val="24"/>
        </w:rPr>
        <w:t>DEPARTAMENTO DE DIREITO CIVIL</w:t>
      </w:r>
    </w:p>
    <w:p w14:paraId="15810F06" w14:textId="77777777" w:rsidR="00F5606C" w:rsidRDefault="00F5606C" w:rsidP="00F5606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132A26E2" w14:textId="77777777" w:rsidR="00F5606C" w:rsidRDefault="00F5606C" w:rsidP="00F5606C">
      <w:pPr>
        <w:spacing w:line="360" w:lineRule="auto"/>
        <w:rPr>
          <w:rFonts w:ascii="Times New Roman" w:hAnsi="Times New Roman" w:cs="Times New Roman"/>
          <w:b/>
          <w:bCs/>
          <w:sz w:val="24"/>
          <w:szCs w:val="24"/>
        </w:rPr>
      </w:pPr>
      <w:r w:rsidRPr="002750EF">
        <w:rPr>
          <w:rFonts w:ascii="Times New Roman" w:hAnsi="Times New Roman" w:cs="Times New Roman"/>
          <w:b/>
          <w:bCs/>
          <w:sz w:val="24"/>
          <w:szCs w:val="24"/>
        </w:rPr>
        <w:t>DCV0215 - Teoria Geral das Obrigações</w:t>
      </w:r>
    </w:p>
    <w:p w14:paraId="53226D70" w14:textId="77777777" w:rsidR="00F5606C" w:rsidRDefault="00F5606C" w:rsidP="00F5606C">
      <w:pPr>
        <w:spacing w:line="360" w:lineRule="auto"/>
        <w:rPr>
          <w:rFonts w:ascii="Times New Roman" w:hAnsi="Times New Roman" w:cs="Times New Roman"/>
          <w:b/>
          <w:bCs/>
          <w:sz w:val="24"/>
          <w:szCs w:val="24"/>
        </w:rPr>
      </w:pPr>
      <w:r>
        <w:rPr>
          <w:rFonts w:ascii="Times New Roman" w:hAnsi="Times New Roman" w:cs="Times New Roman"/>
          <w:b/>
          <w:bCs/>
          <w:sz w:val="24"/>
          <w:szCs w:val="24"/>
        </w:rPr>
        <w:t>Prof. José Fernando Simão</w:t>
      </w:r>
    </w:p>
    <w:p w14:paraId="6ACD4A83" w14:textId="23961840" w:rsidR="00F5606C" w:rsidRPr="00F5606C" w:rsidRDefault="00F5606C" w:rsidP="00F5606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Seminário </w:t>
      </w:r>
      <w:r w:rsidR="009D13F6">
        <w:rPr>
          <w:rFonts w:ascii="Times New Roman" w:hAnsi="Times New Roman" w:cs="Times New Roman"/>
          <w:b/>
          <w:bCs/>
          <w:sz w:val="24"/>
          <w:szCs w:val="24"/>
        </w:rPr>
        <w:t>2</w:t>
      </w:r>
      <w:r>
        <w:rPr>
          <w:rFonts w:ascii="Times New Roman" w:hAnsi="Times New Roman" w:cs="Times New Roman"/>
          <w:b/>
          <w:bCs/>
          <w:sz w:val="24"/>
          <w:szCs w:val="24"/>
        </w:rPr>
        <w:t xml:space="preserve"> </w:t>
      </w:r>
    </w:p>
    <w:p w14:paraId="639A3BC0" w14:textId="41BA7D35" w:rsidR="00E6401F" w:rsidRDefault="00E6401F" w:rsidP="00EA15A3">
      <w:pPr>
        <w:spacing w:after="0" w:line="360" w:lineRule="auto"/>
        <w:jc w:val="both"/>
        <w:rPr>
          <w:rFonts w:ascii="Times New Roman" w:hAnsi="Times New Roman" w:cs="Times New Roman"/>
          <w:b/>
          <w:bCs/>
          <w:sz w:val="24"/>
          <w:szCs w:val="24"/>
        </w:rPr>
      </w:pPr>
    </w:p>
    <w:p w14:paraId="2A622C27" w14:textId="4BDDA807" w:rsidR="009D13F6" w:rsidRDefault="009D13F6" w:rsidP="009D13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Código Civil de 2002 foi inovador ao colocar em evidência novos princípios contratuais. Dentre eles, destaca-se a boa-fé objetiva, já estudada pela doutrina antes mesmo da promulgação do atual diploma civil</w:t>
      </w:r>
      <w:r w:rsidR="00602572">
        <w:rPr>
          <w:rFonts w:ascii="Times New Roman" w:hAnsi="Times New Roman" w:cs="Times New Roman"/>
          <w:sz w:val="24"/>
          <w:szCs w:val="24"/>
        </w:rPr>
        <w:t>, e que assume diversas funções em nosso ordenamento jurídico</w:t>
      </w:r>
      <w:r>
        <w:rPr>
          <w:rFonts w:ascii="Times New Roman" w:hAnsi="Times New Roman" w:cs="Times New Roman"/>
          <w:sz w:val="24"/>
          <w:szCs w:val="24"/>
        </w:rPr>
        <w:t xml:space="preserve">. Em vista disso, </w:t>
      </w:r>
      <w:r w:rsidR="00602572">
        <w:rPr>
          <w:rFonts w:ascii="Times New Roman" w:hAnsi="Times New Roman" w:cs="Times New Roman"/>
          <w:sz w:val="24"/>
          <w:szCs w:val="24"/>
        </w:rPr>
        <w:t>analise as situações a seguir e responda:</w:t>
      </w:r>
    </w:p>
    <w:p w14:paraId="27D55AB5" w14:textId="3F05A06E" w:rsidR="009A2FBC" w:rsidRDefault="009A2FBC" w:rsidP="009A2FBC">
      <w:pPr>
        <w:spacing w:after="0" w:line="360" w:lineRule="auto"/>
        <w:jc w:val="both"/>
        <w:rPr>
          <w:rFonts w:ascii="Times New Roman" w:hAnsi="Times New Roman" w:cs="Times New Roman"/>
          <w:sz w:val="24"/>
          <w:szCs w:val="24"/>
        </w:rPr>
      </w:pPr>
    </w:p>
    <w:p w14:paraId="55E86B29" w14:textId="4E10EE52" w:rsidR="009A2FBC" w:rsidRDefault="009A2FBC" w:rsidP="009A2FB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Questão 1</w:t>
      </w:r>
    </w:p>
    <w:p w14:paraId="7A93A8FC" w14:textId="77777777" w:rsidR="009A2FBC" w:rsidRPr="009A2FBC" w:rsidRDefault="009A2FBC" w:rsidP="009A2FBC">
      <w:pPr>
        <w:spacing w:after="0" w:line="360" w:lineRule="auto"/>
        <w:jc w:val="both"/>
        <w:rPr>
          <w:rFonts w:ascii="Times New Roman" w:hAnsi="Times New Roman" w:cs="Times New Roman"/>
          <w:b/>
          <w:bCs/>
          <w:sz w:val="24"/>
          <w:szCs w:val="24"/>
        </w:rPr>
      </w:pPr>
    </w:p>
    <w:p w14:paraId="5AE71D2E" w14:textId="77777777" w:rsidR="009A2FBC" w:rsidRDefault="00602572" w:rsidP="009A2FBC">
      <w:pPr>
        <w:spacing w:after="0" w:line="360" w:lineRule="auto"/>
        <w:ind w:firstLine="709"/>
        <w:jc w:val="both"/>
        <w:rPr>
          <w:rFonts w:ascii="Times New Roman" w:hAnsi="Times New Roman" w:cs="Times New Roman"/>
          <w:sz w:val="24"/>
          <w:szCs w:val="24"/>
        </w:rPr>
      </w:pPr>
      <w:r w:rsidRPr="009A2FBC">
        <w:rPr>
          <w:rFonts w:ascii="Times New Roman" w:hAnsi="Times New Roman" w:cs="Times New Roman"/>
          <w:sz w:val="24"/>
          <w:szCs w:val="24"/>
        </w:rPr>
        <w:t xml:space="preserve">A empresa de jogos eletrônicos Jogos e lazer S.A. pretende se fundir com outra grande empresa do ramo, a Companhia Toys and fun. Iniciadas as tratativas, as partes iniciam a troca de memorandos de entendimento, trocando informações internas para averiguar a possibilidade da fusão. </w:t>
      </w:r>
    </w:p>
    <w:p w14:paraId="43F39000" w14:textId="77777777" w:rsidR="009A2FBC" w:rsidRDefault="00602572" w:rsidP="009A2F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Companhia Toys and fun reorganiza os postos de administração da companhia, inserindo vagas aos administradores da Jogos e lazer S.A. As empresas fazem diversas reuniões para alteração do logo de futura empresa resultante da fusão. </w:t>
      </w:r>
    </w:p>
    <w:p w14:paraId="59255ABF" w14:textId="77777777" w:rsidR="009A2FBC" w:rsidRDefault="009A2FBC" w:rsidP="009A2F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empresa Jogos e lazer S.A., com ciência da Companhia Toys and fun, iniciou a contratação de novos funcionários, mais especializados no setor de jogos da Companhia Toys and fun que expressamente alegou que exigiria, para a fusão, a contratação, pela Jogos e lazer S.A., de funcionários voltados especialmente para seu setor de jogos.</w:t>
      </w:r>
    </w:p>
    <w:p w14:paraId="70426901" w14:textId="77777777" w:rsidR="009A2FBC" w:rsidRDefault="009A2FBC" w:rsidP="009A2F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Diversos e-mails foram trocados durante meses.</w:t>
      </w:r>
    </w:p>
    <w:p w14:paraId="063E2F46" w14:textId="7FACB816" w:rsidR="00602572" w:rsidRDefault="009A2FBC" w:rsidP="009A2F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data marcada para a assinatura do contrato de fusão, contudo, a Companhia Toys and fun informou a Jogos e lazer S.A. que estava rompendo as tratativas, não se interessando mais pela fusão.</w:t>
      </w:r>
    </w:p>
    <w:p w14:paraId="201F1BE1" w14:textId="279809FA" w:rsidR="009A2FBC" w:rsidRDefault="009A2FBC" w:rsidP="009A2F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 responda:</w:t>
      </w:r>
    </w:p>
    <w:p w14:paraId="0EC39523" w14:textId="003D26FA" w:rsidR="009A2FBC" w:rsidRDefault="009A2FBC" w:rsidP="009A2FBC">
      <w:pPr>
        <w:spacing w:after="0" w:line="360" w:lineRule="auto"/>
        <w:ind w:firstLine="709"/>
        <w:jc w:val="both"/>
        <w:rPr>
          <w:rFonts w:ascii="Times New Roman" w:hAnsi="Times New Roman" w:cs="Times New Roman"/>
          <w:sz w:val="24"/>
          <w:szCs w:val="24"/>
        </w:rPr>
      </w:pPr>
    </w:p>
    <w:p w14:paraId="57660DE5" w14:textId="11431551" w:rsidR="009A2FBC" w:rsidRDefault="009A2FBC" w:rsidP="009A2FBC">
      <w:pPr>
        <w:pStyle w:val="Pargrafoda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ruptura das tratativas, </w:t>
      </w:r>
      <w:r>
        <w:rPr>
          <w:rFonts w:ascii="Times New Roman" w:hAnsi="Times New Roman" w:cs="Times New Roman"/>
          <w:i/>
          <w:iCs/>
          <w:sz w:val="24"/>
          <w:szCs w:val="24"/>
        </w:rPr>
        <w:t>per se</w:t>
      </w:r>
      <w:r>
        <w:rPr>
          <w:rFonts w:ascii="Times New Roman" w:hAnsi="Times New Roman" w:cs="Times New Roman"/>
          <w:sz w:val="24"/>
          <w:szCs w:val="24"/>
        </w:rPr>
        <w:t xml:space="preserve">, é lícita? Fundamente sua resposta com base </w:t>
      </w:r>
      <w:r w:rsidR="00EE4ADA">
        <w:rPr>
          <w:rFonts w:ascii="Times New Roman" w:hAnsi="Times New Roman" w:cs="Times New Roman"/>
          <w:sz w:val="24"/>
          <w:szCs w:val="24"/>
        </w:rPr>
        <w:t>nos princípios contratuais abordados em aula.</w:t>
      </w:r>
    </w:p>
    <w:p w14:paraId="25009707" w14:textId="16AE8736" w:rsidR="00EE4ADA" w:rsidRDefault="00EE4ADA" w:rsidP="00EE4ADA">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lastRenderedPageBreak/>
        <w:t>Sim. Isso porque, em razão da liberdade de contratar e da autonomia privada, as partes são livres para escolher se irão contratar, o conteúdo de seu contrato e com quem irão contratar.</w:t>
      </w:r>
    </w:p>
    <w:p w14:paraId="4085DBDD" w14:textId="2F2C3D38" w:rsidR="00EE4ADA" w:rsidRDefault="00EE4ADA" w:rsidP="00EE4ADA">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t>Tendo em vista que as tratativas constituem fase preliminar à formação da relação contratual (“as negociações preliminares configuram ‘tratos’, e ainda não ‘contratos’), as partes não estão vinculadas.</w:t>
      </w:r>
    </w:p>
    <w:p w14:paraId="134325E9" w14:textId="77777777" w:rsidR="00EE4ADA" w:rsidRPr="00EE4ADA" w:rsidRDefault="00EE4ADA" w:rsidP="00EE4ADA">
      <w:pPr>
        <w:pStyle w:val="PargrafodaLista"/>
        <w:spacing w:after="0" w:line="360" w:lineRule="auto"/>
        <w:ind w:left="1069"/>
        <w:jc w:val="both"/>
        <w:rPr>
          <w:rFonts w:ascii="Times New Roman" w:hAnsi="Times New Roman" w:cs="Times New Roman"/>
          <w:i/>
          <w:iCs/>
          <w:sz w:val="24"/>
          <w:szCs w:val="24"/>
        </w:rPr>
      </w:pPr>
    </w:p>
    <w:p w14:paraId="4AD35524" w14:textId="30D8FDD3" w:rsidR="00EE4ADA" w:rsidRDefault="009A2FBC" w:rsidP="00EE4ADA">
      <w:pPr>
        <w:pStyle w:val="Pargrafoda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ruptura das tratativas, no caso acima indicado, é lícita?</w:t>
      </w:r>
      <w:r w:rsidR="00EE4ADA">
        <w:rPr>
          <w:rFonts w:ascii="Times New Roman" w:hAnsi="Times New Roman" w:cs="Times New Roman"/>
          <w:sz w:val="24"/>
          <w:szCs w:val="24"/>
        </w:rPr>
        <w:t xml:space="preserve"> Fundamente sua resposta com base nos princípios contratuais abordados em aula.</w:t>
      </w:r>
    </w:p>
    <w:p w14:paraId="0F8E4579" w14:textId="67EEAC47" w:rsidR="00EE4ADA" w:rsidRDefault="00EE4ADA" w:rsidP="00EE4ADA">
      <w:pPr>
        <w:pStyle w:val="PargrafodaLista"/>
        <w:spacing w:after="0" w:line="360" w:lineRule="auto"/>
        <w:ind w:left="1069"/>
        <w:jc w:val="both"/>
        <w:rPr>
          <w:rFonts w:ascii="Times New Roman" w:hAnsi="Times New Roman" w:cs="Times New Roman"/>
          <w:sz w:val="24"/>
          <w:szCs w:val="24"/>
        </w:rPr>
      </w:pPr>
    </w:p>
    <w:p w14:paraId="4A540565" w14:textId="3F46166B" w:rsidR="00EE4ADA" w:rsidRDefault="00EE4ADA" w:rsidP="00EE4ADA">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t xml:space="preserve">Não. A ruptura das tratativas, no caso exposto, é contrária à legítima expectativa suscitada nas partes e, portanto, viola a cláusula geral de boa-fé objetiva. </w:t>
      </w:r>
    </w:p>
    <w:p w14:paraId="7ED6D28C" w14:textId="00E13922" w:rsidR="00EE4ADA" w:rsidRDefault="00EE4ADA" w:rsidP="00EE4ADA">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t xml:space="preserve">Notadamente, o comportamento da Companhia Toys and fun suscitou a confiança legítima da Jogos e lazer S.A. de que as partes celebrariam a fusão. A Jogos e lazer S.A. fez investimentos fundados nessa confiança, por exemplo, ao contratar funcionários de acordo com as exigências da Companhia Toys and fun. </w:t>
      </w:r>
    </w:p>
    <w:p w14:paraId="5B598120" w14:textId="6B571480" w:rsidR="00EE4ADA" w:rsidRDefault="00EE4ADA" w:rsidP="00EE4ADA">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t>Tudo indicava, nesse sentido, que o contrato de fusão entre as empresas seria celebrado. A ruptura das negociações, nesse caso, é comportamento contraditório da Companhia Toys and Fun em relação ao comportamento que teve durante as tratativas.</w:t>
      </w:r>
    </w:p>
    <w:p w14:paraId="06BA5DCD" w14:textId="641E6AF2" w:rsidR="00EE4ADA" w:rsidRPr="00EE4ADA" w:rsidRDefault="00EE4ADA" w:rsidP="00EE4ADA">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t xml:space="preserve">Trata-se, de forma mais específica, de </w:t>
      </w:r>
      <w:r>
        <w:rPr>
          <w:rFonts w:ascii="Times New Roman" w:hAnsi="Times New Roman" w:cs="Times New Roman"/>
          <w:sz w:val="24"/>
          <w:szCs w:val="24"/>
        </w:rPr>
        <w:t>venire contra factum proprium,</w:t>
      </w:r>
      <w:r>
        <w:rPr>
          <w:rFonts w:ascii="Times New Roman" w:hAnsi="Times New Roman" w:cs="Times New Roman"/>
          <w:i/>
          <w:iCs/>
          <w:sz w:val="24"/>
          <w:szCs w:val="24"/>
        </w:rPr>
        <w:t xml:space="preserve"> decorrente boa-fé objetiva em sua função limitadora do exercício de posição jurídica (art. 187 do CC)</w:t>
      </w:r>
      <w:r>
        <w:rPr>
          <w:rFonts w:ascii="Times New Roman" w:hAnsi="Times New Roman" w:cs="Times New Roman"/>
          <w:sz w:val="24"/>
          <w:szCs w:val="24"/>
        </w:rPr>
        <w:t xml:space="preserve">. </w:t>
      </w:r>
    </w:p>
    <w:p w14:paraId="1C823D96" w14:textId="77777777" w:rsidR="00EE4ADA" w:rsidRDefault="00EE4ADA" w:rsidP="00EE4ADA">
      <w:pPr>
        <w:pStyle w:val="PargrafodaLista"/>
        <w:spacing w:after="0" w:line="360" w:lineRule="auto"/>
        <w:ind w:left="1069"/>
        <w:jc w:val="both"/>
        <w:rPr>
          <w:rFonts w:ascii="Times New Roman" w:hAnsi="Times New Roman" w:cs="Times New Roman"/>
          <w:sz w:val="24"/>
          <w:szCs w:val="24"/>
        </w:rPr>
      </w:pPr>
    </w:p>
    <w:p w14:paraId="6C8C5F9E" w14:textId="79DE9D05" w:rsidR="00EE4ADA" w:rsidRDefault="00EE4ADA" w:rsidP="00EE4ADA">
      <w:pPr>
        <w:pStyle w:val="Pargrafoda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Caso a resposta acima seja negativa, a ilicitude do rompimento das tratativas acarreta a responsabilidade civil contratual ou extracontratual da Companhia Toys and fun?</w:t>
      </w:r>
    </w:p>
    <w:p w14:paraId="6C3ABB74" w14:textId="24364E0C" w:rsidR="00EE4ADA" w:rsidRDefault="00EE4ADA" w:rsidP="00EE4ADA">
      <w:pPr>
        <w:pStyle w:val="PargrafodaLista"/>
        <w:spacing w:after="0" w:line="360" w:lineRule="auto"/>
        <w:ind w:left="1069"/>
        <w:jc w:val="both"/>
        <w:rPr>
          <w:rFonts w:ascii="Times New Roman" w:hAnsi="Times New Roman" w:cs="Times New Roman"/>
          <w:sz w:val="24"/>
          <w:szCs w:val="24"/>
        </w:rPr>
      </w:pPr>
    </w:p>
    <w:p w14:paraId="525CF468" w14:textId="230268B3" w:rsidR="00EE4ADA" w:rsidRDefault="00EE4ADA" w:rsidP="00EE4ADA">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t>A responsabilidade é extracontratual e se funda no art. 187 do CC. Na hipótese, o contrato não foi formado, tendo havido ilícito pelo exercício abusivo da posição jurídica de não contratar.</w:t>
      </w:r>
    </w:p>
    <w:p w14:paraId="10D972E8" w14:textId="364B132F" w:rsidR="00EE4ADA" w:rsidRDefault="00EE4ADA" w:rsidP="00EE4ADA">
      <w:pPr>
        <w:spacing w:after="0" w:line="360" w:lineRule="auto"/>
        <w:jc w:val="both"/>
        <w:rPr>
          <w:rFonts w:ascii="Times New Roman" w:hAnsi="Times New Roman" w:cs="Times New Roman"/>
          <w:sz w:val="24"/>
          <w:szCs w:val="24"/>
        </w:rPr>
      </w:pPr>
    </w:p>
    <w:p w14:paraId="792BD0EE" w14:textId="41DC4532" w:rsidR="00EE4ADA" w:rsidRDefault="00EE4ADA" w:rsidP="00EE4A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Questão 2</w:t>
      </w:r>
    </w:p>
    <w:p w14:paraId="3A5765DB" w14:textId="5138E81A" w:rsidR="00EE4ADA" w:rsidRDefault="00EE4ADA" w:rsidP="00EE4ADA">
      <w:pPr>
        <w:spacing w:after="0" w:line="360" w:lineRule="auto"/>
        <w:jc w:val="both"/>
        <w:rPr>
          <w:rFonts w:ascii="Times New Roman" w:hAnsi="Times New Roman" w:cs="Times New Roman"/>
          <w:sz w:val="24"/>
          <w:szCs w:val="24"/>
        </w:rPr>
      </w:pPr>
    </w:p>
    <w:p w14:paraId="1BC9254B" w14:textId="77777777" w:rsidR="00BB0FB9" w:rsidRDefault="00080DF9" w:rsidP="00BB0F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empresa Transporte de cana Ltda. celebra contrato de prestação de serviço de transporte de cana-de-açúcar produzida pela Companhia Lopes Colheita de </w:t>
      </w:r>
      <w:r w:rsidR="00BB0FB9">
        <w:rPr>
          <w:rFonts w:ascii="Times New Roman" w:hAnsi="Times New Roman" w:cs="Times New Roman"/>
          <w:sz w:val="24"/>
          <w:szCs w:val="24"/>
        </w:rPr>
        <w:t>C</w:t>
      </w:r>
      <w:r>
        <w:rPr>
          <w:rFonts w:ascii="Times New Roman" w:hAnsi="Times New Roman" w:cs="Times New Roman"/>
          <w:sz w:val="24"/>
          <w:szCs w:val="24"/>
        </w:rPr>
        <w:t>ana</w:t>
      </w:r>
      <w:r w:rsidR="00BB0FB9">
        <w:rPr>
          <w:rFonts w:ascii="Times New Roman" w:hAnsi="Times New Roman" w:cs="Times New Roman"/>
          <w:sz w:val="24"/>
          <w:szCs w:val="24"/>
        </w:rPr>
        <w:t xml:space="preserve"> no interior de São Paulo</w:t>
      </w:r>
      <w:r>
        <w:rPr>
          <w:rFonts w:ascii="Times New Roman" w:hAnsi="Times New Roman" w:cs="Times New Roman"/>
          <w:sz w:val="24"/>
          <w:szCs w:val="24"/>
        </w:rPr>
        <w:t xml:space="preserve">. </w:t>
      </w:r>
      <w:r w:rsidR="00BB0FB9">
        <w:rPr>
          <w:rFonts w:ascii="Times New Roman" w:hAnsi="Times New Roman" w:cs="Times New Roman"/>
          <w:sz w:val="24"/>
          <w:szCs w:val="24"/>
        </w:rPr>
        <w:t xml:space="preserve">A Transporte de cana Ltda ficou responsável por transportar a cana produzida pela Companhia Lopes Colheita de Cana até os centros de distribuição dessa última. </w:t>
      </w:r>
    </w:p>
    <w:p w14:paraId="16ABE633" w14:textId="604DF2D8" w:rsidR="00BB0FB9" w:rsidRDefault="00BB0FB9" w:rsidP="00BB0F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 pagamento da prestação de serviço de transporte foi estipulado de maneira proporcional ao número de viagens feitos pelos caminhões da Transporte de Cana Ltda., sendo que, como tradicionalmente ocorre na região de atuação das empresas, os caminhões, como os da Transporte de Cana Ltda., têm capacidade de transportar 1 (uma) tonelada de cana de açúcar.</w:t>
      </w:r>
    </w:p>
    <w:p w14:paraId="296A41B4" w14:textId="25E5F8B6" w:rsidR="00BB0FB9" w:rsidRDefault="00BB0FB9" w:rsidP="00BB0F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cada viagem realizada, a transportadora era remunerada com R$ 1.000,00.</w:t>
      </w:r>
      <w:r w:rsidR="00BF757A">
        <w:rPr>
          <w:rFonts w:ascii="Times New Roman" w:hAnsi="Times New Roman" w:cs="Times New Roman"/>
          <w:sz w:val="24"/>
          <w:szCs w:val="24"/>
        </w:rPr>
        <w:t xml:space="preserve"> Vejamos a cláusula:</w:t>
      </w:r>
    </w:p>
    <w:p w14:paraId="0283212F" w14:textId="7B9CAAFD" w:rsidR="00BF757A" w:rsidRDefault="00BF757A" w:rsidP="00BB0FB9">
      <w:pPr>
        <w:spacing w:after="0" w:line="360" w:lineRule="auto"/>
        <w:ind w:firstLine="709"/>
        <w:jc w:val="both"/>
        <w:rPr>
          <w:rFonts w:ascii="Times New Roman" w:hAnsi="Times New Roman" w:cs="Times New Roman"/>
          <w:sz w:val="24"/>
          <w:szCs w:val="24"/>
        </w:rPr>
      </w:pPr>
    </w:p>
    <w:p w14:paraId="44589E7A" w14:textId="719AC619" w:rsidR="00BF757A" w:rsidRDefault="00BF757A" w:rsidP="00BF757A">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CLÁUSULA 6. O pagamento dos serviços à CONTRATADA ocorrerá todo dia 1º de cada mês e corresponderá à soma do valor das viagens de transporte da cana-de-açúcar realizadas até os centros de distribuição da CONTRATANTE realizadas no mês anterior, tendo-se como preço de cada viagem o valor de R$ 1.000,00 (mil reais).</w:t>
      </w:r>
    </w:p>
    <w:p w14:paraId="0E8B48D8" w14:textId="77777777" w:rsidR="00BF757A" w:rsidRDefault="00BF757A" w:rsidP="00BB0FB9">
      <w:pPr>
        <w:spacing w:after="0" w:line="360" w:lineRule="auto"/>
        <w:ind w:firstLine="709"/>
        <w:jc w:val="both"/>
        <w:rPr>
          <w:rFonts w:ascii="Times New Roman" w:hAnsi="Times New Roman" w:cs="Times New Roman"/>
          <w:sz w:val="24"/>
          <w:szCs w:val="24"/>
        </w:rPr>
      </w:pPr>
    </w:p>
    <w:p w14:paraId="3402F0DF" w14:textId="0172CA91" w:rsidR="00BB0FB9" w:rsidRDefault="00BB0FB9" w:rsidP="00BB0F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Contudo, após três meses de vigência de contrato, a Transporte de Cana Ltda. muda sua frota de caminhões, com capacidade para carregar 500 kg de cana de açúcar, metade da capacidade anterior.</w:t>
      </w:r>
    </w:p>
    <w:p w14:paraId="6E21B585" w14:textId="77777777" w:rsidR="00BF757A" w:rsidRDefault="00BB0FB9" w:rsidP="00BB0F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vista disso, a Transporte de Cana Ltda. começa a realizar mais viagens e exige da Companhia Lopes Colheita de Cana</w:t>
      </w:r>
      <w:r w:rsidR="00BF757A">
        <w:rPr>
          <w:rFonts w:ascii="Times New Roman" w:hAnsi="Times New Roman" w:cs="Times New Roman"/>
          <w:sz w:val="24"/>
          <w:szCs w:val="24"/>
        </w:rPr>
        <w:t xml:space="preserve"> pagamento com base no número de viagens realizadas.</w:t>
      </w:r>
    </w:p>
    <w:p w14:paraId="2CD18F73" w14:textId="77777777" w:rsidR="00BF757A" w:rsidRDefault="00BF757A" w:rsidP="00BB0FB9">
      <w:pPr>
        <w:spacing w:after="0" w:line="360" w:lineRule="auto"/>
        <w:ind w:firstLine="709"/>
        <w:jc w:val="both"/>
        <w:rPr>
          <w:rFonts w:ascii="Times New Roman" w:hAnsi="Times New Roman" w:cs="Times New Roman"/>
          <w:sz w:val="24"/>
          <w:szCs w:val="24"/>
        </w:rPr>
      </w:pPr>
    </w:p>
    <w:p w14:paraId="2BD1BDCC" w14:textId="7E78EA0B" w:rsidR="00BB0FB9" w:rsidRDefault="00BF757A" w:rsidP="00BB0F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advogado da Companhia Lopes Colheita de Cana, qual a possível defesa a ser apresentada nesse caso?</w:t>
      </w:r>
    </w:p>
    <w:p w14:paraId="7FB79BD5" w14:textId="41E233B0" w:rsidR="00BF757A" w:rsidRDefault="00BF757A" w:rsidP="00BB0FB9">
      <w:pPr>
        <w:spacing w:after="0" w:line="360" w:lineRule="auto"/>
        <w:ind w:firstLine="709"/>
        <w:jc w:val="both"/>
        <w:rPr>
          <w:rFonts w:ascii="Times New Roman" w:hAnsi="Times New Roman" w:cs="Times New Roman"/>
          <w:sz w:val="24"/>
          <w:szCs w:val="24"/>
        </w:rPr>
      </w:pPr>
    </w:p>
    <w:p w14:paraId="1DE5C3C7" w14:textId="2CB31747" w:rsidR="00BF757A" w:rsidRDefault="00BF757A" w:rsidP="00BB0FB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A interpretação do contrato deve ser realizada de acordo com a boa-fé objetiva (art. 113 do CC). Nesse sentido, no caso exposto, é evidente que a remuneração pelo número de viagem não corresponde efetivamente ao que seria uma remuneração conforme a boa-fé. Isso porque as partes, na verdade, desejaram a remuneração conforme a quantidade de açúcar transportada, o que fica claro quando se tem em conta que os caminhões de transporte de cana de açúcar naquela região sempre tiveram a mesma capacidade. </w:t>
      </w:r>
    </w:p>
    <w:p w14:paraId="6D90DA0E" w14:textId="05209ECC" w:rsidR="00BF757A" w:rsidRDefault="00BF757A" w:rsidP="00BB0FB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Dessa forma, não se pode admitir que, a depender da capacidade do caminhão, a remuneração seja diferente, devendo-se assumir que o pagamento deve levar em conta a quantidade transportada de açúcar. </w:t>
      </w:r>
    </w:p>
    <w:p w14:paraId="4F78ACC9" w14:textId="63896918" w:rsidR="00BF757A" w:rsidRDefault="00BF757A" w:rsidP="00BB0FB9">
      <w:pPr>
        <w:spacing w:after="0" w:line="360" w:lineRule="auto"/>
        <w:ind w:firstLine="709"/>
        <w:jc w:val="both"/>
        <w:rPr>
          <w:rFonts w:ascii="Times New Roman" w:hAnsi="Times New Roman" w:cs="Times New Roman"/>
          <w:i/>
          <w:iCs/>
          <w:sz w:val="24"/>
          <w:szCs w:val="24"/>
        </w:rPr>
      </w:pPr>
    </w:p>
    <w:p w14:paraId="2991A1E6" w14:textId="6FC9FDA2" w:rsidR="00BF757A" w:rsidRDefault="00BF757A" w:rsidP="00BF757A">
      <w:pPr>
        <w:spacing w:after="0" w:line="360" w:lineRule="auto"/>
        <w:jc w:val="both"/>
        <w:rPr>
          <w:rFonts w:ascii="Times New Roman" w:hAnsi="Times New Roman" w:cs="Times New Roman"/>
          <w:sz w:val="24"/>
          <w:szCs w:val="24"/>
        </w:rPr>
      </w:pPr>
    </w:p>
    <w:p w14:paraId="331412FC" w14:textId="24290D03" w:rsidR="00BF757A" w:rsidRDefault="00BF757A" w:rsidP="00BF757A">
      <w:pPr>
        <w:spacing w:after="0" w:line="360" w:lineRule="auto"/>
        <w:jc w:val="both"/>
        <w:rPr>
          <w:rFonts w:ascii="Times New Roman" w:hAnsi="Times New Roman" w:cs="Times New Roman"/>
          <w:sz w:val="24"/>
          <w:szCs w:val="24"/>
        </w:rPr>
      </w:pPr>
    </w:p>
    <w:p w14:paraId="55E50029" w14:textId="4D43F717" w:rsidR="00BF757A" w:rsidRDefault="00BF757A" w:rsidP="00BF757A">
      <w:pPr>
        <w:spacing w:after="0" w:line="360" w:lineRule="auto"/>
        <w:jc w:val="both"/>
        <w:rPr>
          <w:rFonts w:ascii="Times New Roman" w:hAnsi="Times New Roman" w:cs="Times New Roman"/>
          <w:sz w:val="24"/>
          <w:szCs w:val="24"/>
        </w:rPr>
      </w:pPr>
    </w:p>
    <w:p w14:paraId="436B1129" w14:textId="77777777" w:rsidR="00BF757A" w:rsidRDefault="00BF757A" w:rsidP="00BF757A">
      <w:pPr>
        <w:spacing w:after="0" w:line="360" w:lineRule="auto"/>
        <w:jc w:val="both"/>
        <w:rPr>
          <w:rFonts w:ascii="Times New Roman" w:hAnsi="Times New Roman" w:cs="Times New Roman"/>
          <w:sz w:val="24"/>
          <w:szCs w:val="24"/>
        </w:rPr>
      </w:pPr>
    </w:p>
    <w:p w14:paraId="46AF3410" w14:textId="7FC0444D" w:rsidR="00BF757A" w:rsidRDefault="00BF757A" w:rsidP="00BF757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Questão 3</w:t>
      </w:r>
    </w:p>
    <w:p w14:paraId="0E092E38" w14:textId="7D7E29A2" w:rsidR="00BF757A" w:rsidRDefault="00BF757A">
      <w:pPr>
        <w:rPr>
          <w:rFonts w:ascii="Times New Roman" w:hAnsi="Times New Roman" w:cs="Times New Roman"/>
          <w:sz w:val="24"/>
          <w:szCs w:val="24"/>
        </w:rPr>
      </w:pPr>
    </w:p>
    <w:p w14:paraId="2880C9C9" w14:textId="18419870" w:rsidR="00BF757A" w:rsidRDefault="00BF757A" w:rsidP="00BF75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Amélia vai ao supermercado e deixa seu carro no estacionamento, </w:t>
      </w:r>
      <w:r w:rsidR="005E06A6">
        <w:rPr>
          <w:rFonts w:ascii="Times New Roman" w:hAnsi="Times New Roman" w:cs="Times New Roman"/>
          <w:sz w:val="24"/>
          <w:szCs w:val="24"/>
        </w:rPr>
        <w:t>pagamento R$ 15,00 para isso</w:t>
      </w:r>
      <w:r>
        <w:rPr>
          <w:rFonts w:ascii="Times New Roman" w:hAnsi="Times New Roman" w:cs="Times New Roman"/>
          <w:sz w:val="24"/>
          <w:szCs w:val="24"/>
        </w:rPr>
        <w:t xml:space="preserve">. Ao ingressar no estacionamento, Amélia lê o seguinte anúncio: “Não nos responsabilizamos pelos pertences deixados em seu veículo”. </w:t>
      </w:r>
    </w:p>
    <w:p w14:paraId="16F3542C" w14:textId="1C566297" w:rsidR="005E06A6" w:rsidRDefault="00BF757A" w:rsidP="005E06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Amélia, confiante de que nada aconteceria,</w:t>
      </w:r>
      <w:r w:rsidR="005E06A6">
        <w:rPr>
          <w:rFonts w:ascii="Times New Roman" w:hAnsi="Times New Roman" w:cs="Times New Roman"/>
          <w:sz w:val="24"/>
          <w:szCs w:val="24"/>
        </w:rPr>
        <w:t xml:space="preserve"> deixa seus óculos de sol no porta-luvas e</w:t>
      </w:r>
      <w:r>
        <w:rPr>
          <w:rFonts w:ascii="Times New Roman" w:hAnsi="Times New Roman" w:cs="Times New Roman"/>
          <w:sz w:val="24"/>
          <w:szCs w:val="24"/>
        </w:rPr>
        <w:t xml:space="preserve"> </w:t>
      </w:r>
      <w:r w:rsidR="005E06A6">
        <w:rPr>
          <w:rFonts w:ascii="Times New Roman" w:hAnsi="Times New Roman" w:cs="Times New Roman"/>
          <w:sz w:val="24"/>
          <w:szCs w:val="24"/>
        </w:rPr>
        <w:t xml:space="preserve">entra </w:t>
      </w:r>
      <w:r>
        <w:rPr>
          <w:rFonts w:ascii="Times New Roman" w:hAnsi="Times New Roman" w:cs="Times New Roman"/>
          <w:sz w:val="24"/>
          <w:szCs w:val="24"/>
        </w:rPr>
        <w:t>no mercado assim mesmo para realizar suas compras</w:t>
      </w:r>
      <w:r w:rsidR="005E06A6">
        <w:rPr>
          <w:rFonts w:ascii="Times New Roman" w:hAnsi="Times New Roman" w:cs="Times New Roman"/>
          <w:sz w:val="24"/>
          <w:szCs w:val="24"/>
        </w:rPr>
        <w:t>. Depois de uma hora, contudo, qual não foi a surpresa de Amélia ao perceber que os vidros do carro estavam quebrados e que seus óculos de sol não estavam mais em seu porta-luvas.</w:t>
      </w:r>
    </w:p>
    <w:p w14:paraId="3911008A" w14:textId="7CB33D97" w:rsidR="005E06A6" w:rsidRDefault="005E06A6" w:rsidP="005E06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 responda:</w:t>
      </w:r>
    </w:p>
    <w:p w14:paraId="034ED467" w14:textId="0237215A" w:rsidR="005E06A6" w:rsidRDefault="005E06A6" w:rsidP="005E06A6">
      <w:pPr>
        <w:spacing w:after="0" w:line="360" w:lineRule="auto"/>
        <w:ind w:firstLine="709"/>
        <w:jc w:val="both"/>
        <w:rPr>
          <w:rFonts w:ascii="Times New Roman" w:hAnsi="Times New Roman" w:cs="Times New Roman"/>
          <w:sz w:val="24"/>
          <w:szCs w:val="24"/>
        </w:rPr>
      </w:pPr>
    </w:p>
    <w:p w14:paraId="18073A70" w14:textId="774E50AC" w:rsidR="005E06A6" w:rsidRDefault="005E06A6" w:rsidP="005E06A6">
      <w:pPr>
        <w:pStyle w:val="PargrafodaLista"/>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Amélia pode exigir que o supermercado lhe indenize pelos vidros quebrados e pelos óculos roubados?</w:t>
      </w:r>
    </w:p>
    <w:p w14:paraId="1279D5A4" w14:textId="28B91F0C" w:rsidR="005E06A6" w:rsidRDefault="005E06A6" w:rsidP="005E06A6">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t xml:space="preserve">Sim. O supermercado tem dever de segurança em relação aos consumidores e seus bens, sendo nula a estipulação de não indenizar. </w:t>
      </w:r>
    </w:p>
    <w:p w14:paraId="60772276" w14:textId="77777777" w:rsidR="005E06A6" w:rsidRDefault="005E06A6" w:rsidP="005E06A6">
      <w:pPr>
        <w:pStyle w:val="PargrafodaLista"/>
        <w:spacing w:after="0" w:line="360" w:lineRule="auto"/>
        <w:ind w:left="1069"/>
        <w:jc w:val="both"/>
        <w:rPr>
          <w:rFonts w:ascii="Times New Roman" w:hAnsi="Times New Roman" w:cs="Times New Roman"/>
          <w:sz w:val="24"/>
          <w:szCs w:val="24"/>
        </w:rPr>
      </w:pPr>
    </w:p>
    <w:p w14:paraId="45BBD49A" w14:textId="6DEC32FE" w:rsidR="005E06A6" w:rsidRDefault="005E06A6" w:rsidP="005E06A6">
      <w:pPr>
        <w:pStyle w:val="PargrafodaLista"/>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resposta seria diferente se o estacionamento fosse gratuito?</w:t>
      </w:r>
    </w:p>
    <w:p w14:paraId="196D31A3" w14:textId="0D15FB55" w:rsidR="005E06A6" w:rsidRDefault="005E06A6" w:rsidP="005E06A6">
      <w:pPr>
        <w:pStyle w:val="PargrafodaLista"/>
        <w:spacing w:after="0" w:line="360" w:lineRule="auto"/>
        <w:ind w:left="1069"/>
        <w:jc w:val="both"/>
        <w:rPr>
          <w:rFonts w:ascii="Times New Roman" w:hAnsi="Times New Roman" w:cs="Times New Roman"/>
          <w:sz w:val="24"/>
          <w:szCs w:val="24"/>
        </w:rPr>
      </w:pPr>
    </w:p>
    <w:p w14:paraId="1F579970" w14:textId="214882A4" w:rsidR="005E06A6" w:rsidRPr="005E06A6" w:rsidRDefault="005E06A6" w:rsidP="005E06A6">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t>Não. Embora o estacionamento seja gratuito, os clientes que o utilizarão serão os clientes do supermercado, que irá se beneficiar das compras realizadas. Esse é o entendimento do TJSP.</w:t>
      </w:r>
    </w:p>
    <w:p w14:paraId="61D41B2D" w14:textId="77777777" w:rsidR="005E06A6" w:rsidRDefault="005E06A6" w:rsidP="005E06A6">
      <w:pPr>
        <w:pStyle w:val="PargrafodaLista"/>
        <w:spacing w:after="0" w:line="360" w:lineRule="auto"/>
        <w:ind w:left="1069"/>
        <w:jc w:val="both"/>
        <w:rPr>
          <w:rFonts w:ascii="Times New Roman" w:hAnsi="Times New Roman" w:cs="Times New Roman"/>
          <w:sz w:val="24"/>
          <w:szCs w:val="24"/>
        </w:rPr>
      </w:pPr>
    </w:p>
    <w:p w14:paraId="2B618159" w14:textId="735985FD" w:rsidR="005E06A6" w:rsidRDefault="005E06A6" w:rsidP="005E06A6">
      <w:pPr>
        <w:pStyle w:val="PargrafodaLista"/>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resposta seria a mesma se Amélia tivesse esquecido suas chaves na porta do carro, deixando o carro aberto, e se apenas seus óculos tivessem sido levados?</w:t>
      </w:r>
    </w:p>
    <w:p w14:paraId="009468FD" w14:textId="588C6469" w:rsidR="005E06A6" w:rsidRDefault="005E06A6" w:rsidP="005E06A6">
      <w:pPr>
        <w:pStyle w:val="PargrafodaLista"/>
        <w:spacing w:after="0" w:line="360" w:lineRule="auto"/>
        <w:ind w:left="1069"/>
        <w:jc w:val="both"/>
        <w:rPr>
          <w:rFonts w:ascii="Times New Roman" w:hAnsi="Times New Roman" w:cs="Times New Roman"/>
          <w:sz w:val="24"/>
          <w:szCs w:val="24"/>
        </w:rPr>
      </w:pPr>
    </w:p>
    <w:p w14:paraId="1CF4FA52" w14:textId="6C72594C" w:rsidR="005E06A6" w:rsidRPr="005E06A6" w:rsidRDefault="005E06A6" w:rsidP="005E06A6">
      <w:pPr>
        <w:pStyle w:val="PargrafodaLista"/>
        <w:spacing w:after="0" w:line="360" w:lineRule="auto"/>
        <w:ind w:left="1069"/>
        <w:jc w:val="both"/>
        <w:rPr>
          <w:rFonts w:ascii="Times New Roman" w:hAnsi="Times New Roman" w:cs="Times New Roman"/>
          <w:i/>
          <w:iCs/>
          <w:sz w:val="24"/>
          <w:szCs w:val="24"/>
        </w:rPr>
      </w:pPr>
      <w:r>
        <w:rPr>
          <w:rFonts w:ascii="Times New Roman" w:hAnsi="Times New Roman" w:cs="Times New Roman"/>
          <w:i/>
          <w:iCs/>
          <w:sz w:val="24"/>
          <w:szCs w:val="24"/>
        </w:rPr>
        <w:t>Nesse caso, pode-se alegar que a própria cliente deu causa ao evento, em razão de sua negligência. Na hipótese, não haveria conduta exigível do supermercado para tomar conta dos pertences de Amélia.</w:t>
      </w:r>
    </w:p>
    <w:p w14:paraId="5F284F8D" w14:textId="77777777" w:rsidR="00BF757A" w:rsidRDefault="00BF757A" w:rsidP="00BF757A">
      <w:pPr>
        <w:spacing w:after="0" w:line="360" w:lineRule="auto"/>
        <w:jc w:val="both"/>
        <w:rPr>
          <w:rFonts w:ascii="Times New Roman" w:hAnsi="Times New Roman" w:cs="Times New Roman"/>
          <w:sz w:val="24"/>
          <w:szCs w:val="24"/>
        </w:rPr>
      </w:pPr>
    </w:p>
    <w:p w14:paraId="32003C3D" w14:textId="77777777" w:rsidR="00BF757A" w:rsidRPr="00BF757A" w:rsidRDefault="00BF757A" w:rsidP="00BF757A">
      <w:pPr>
        <w:spacing w:after="0" w:line="360" w:lineRule="auto"/>
        <w:jc w:val="both"/>
        <w:rPr>
          <w:rFonts w:ascii="Times New Roman" w:hAnsi="Times New Roman" w:cs="Times New Roman"/>
          <w:sz w:val="24"/>
          <w:szCs w:val="24"/>
        </w:rPr>
      </w:pPr>
    </w:p>
    <w:p w14:paraId="694F16AE" w14:textId="1A25FC36" w:rsidR="009D13F6" w:rsidRDefault="009D13F6" w:rsidP="009D13F6">
      <w:pPr>
        <w:spacing w:after="0" w:line="360" w:lineRule="auto"/>
        <w:ind w:firstLine="709"/>
        <w:jc w:val="both"/>
        <w:rPr>
          <w:rFonts w:ascii="Times New Roman" w:hAnsi="Times New Roman" w:cs="Times New Roman"/>
          <w:sz w:val="24"/>
          <w:szCs w:val="24"/>
        </w:rPr>
      </w:pPr>
    </w:p>
    <w:p w14:paraId="5DB16A02" w14:textId="3D168F3F" w:rsidR="00EE349A" w:rsidRPr="005F5525" w:rsidRDefault="00EE349A" w:rsidP="005C0EDC">
      <w:pPr>
        <w:spacing w:after="0" w:line="360" w:lineRule="auto"/>
        <w:jc w:val="both"/>
        <w:rPr>
          <w:rFonts w:ascii="Times New Roman" w:hAnsi="Times New Roman" w:cs="Times New Roman"/>
          <w:sz w:val="24"/>
          <w:szCs w:val="24"/>
        </w:rPr>
      </w:pPr>
    </w:p>
    <w:sectPr w:rsidR="00EE349A" w:rsidRPr="005F5525" w:rsidSect="009878A9">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D41"/>
    <w:multiLevelType w:val="hybridMultilevel"/>
    <w:tmpl w:val="1526C700"/>
    <w:lvl w:ilvl="0" w:tplc="195085D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1111FB3"/>
    <w:multiLevelType w:val="hybridMultilevel"/>
    <w:tmpl w:val="CD585BC8"/>
    <w:lvl w:ilvl="0" w:tplc="69C4242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74033EE"/>
    <w:multiLevelType w:val="hybridMultilevel"/>
    <w:tmpl w:val="F790072C"/>
    <w:lvl w:ilvl="0" w:tplc="044E82E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3BDD50E3"/>
    <w:multiLevelType w:val="hybridMultilevel"/>
    <w:tmpl w:val="0914842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780A2A"/>
    <w:multiLevelType w:val="hybridMultilevel"/>
    <w:tmpl w:val="67B40114"/>
    <w:lvl w:ilvl="0" w:tplc="276A4F8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EA50E48"/>
    <w:multiLevelType w:val="hybridMultilevel"/>
    <w:tmpl w:val="B8F07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5079CE"/>
    <w:multiLevelType w:val="hybridMultilevel"/>
    <w:tmpl w:val="9AC4B946"/>
    <w:lvl w:ilvl="0" w:tplc="00B8E4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8F0F3D"/>
    <w:multiLevelType w:val="hybridMultilevel"/>
    <w:tmpl w:val="C62AC490"/>
    <w:lvl w:ilvl="0" w:tplc="4F6A0114">
      <w:start w:val="1"/>
      <w:numFmt w:val="upp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15:restartNumberingAfterBreak="0">
    <w:nsid w:val="5A5C3D6C"/>
    <w:multiLevelType w:val="multilevel"/>
    <w:tmpl w:val="3C9CA80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EE30821"/>
    <w:multiLevelType w:val="hybridMultilevel"/>
    <w:tmpl w:val="B036A7F6"/>
    <w:lvl w:ilvl="0" w:tplc="32369A5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612A4A4E"/>
    <w:multiLevelType w:val="hybridMultilevel"/>
    <w:tmpl w:val="93E8A9A2"/>
    <w:lvl w:ilvl="0" w:tplc="2AC421BC">
      <w:start w:val="1"/>
      <w:numFmt w:val="decimal"/>
      <w:lvlText w:val="%1)"/>
      <w:lvlJc w:val="left"/>
      <w:pPr>
        <w:ind w:left="720" w:hanging="360"/>
      </w:pPr>
      <w:rPr>
        <w:rFonts w:hint="default"/>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011267"/>
    <w:multiLevelType w:val="hybridMultilevel"/>
    <w:tmpl w:val="8F7AA4F8"/>
    <w:lvl w:ilvl="0" w:tplc="757214F0">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E23C05"/>
    <w:multiLevelType w:val="hybridMultilevel"/>
    <w:tmpl w:val="7E7CB732"/>
    <w:lvl w:ilvl="0" w:tplc="A442FB76">
      <w:start w:val="1"/>
      <w:numFmt w:val="decimal"/>
      <w:lvlText w:val="%1)"/>
      <w:lvlJc w:val="left"/>
      <w:pPr>
        <w:ind w:left="720" w:hanging="360"/>
      </w:pPr>
      <w:rPr>
        <w:rFonts w:hint="default"/>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D4521E"/>
    <w:multiLevelType w:val="multilevel"/>
    <w:tmpl w:val="FFE6CFEC"/>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64C0504"/>
    <w:multiLevelType w:val="hybridMultilevel"/>
    <w:tmpl w:val="44E8CC5A"/>
    <w:lvl w:ilvl="0" w:tplc="3926F9AE">
      <w:start w:val="1"/>
      <w:numFmt w:val="lowerRoman"/>
      <w:lvlText w:val="(%1)"/>
      <w:lvlJc w:val="left"/>
      <w:pPr>
        <w:ind w:left="1789" w:hanging="720"/>
      </w:pPr>
      <w:rPr>
        <w:rFonts w:hint="default"/>
        <w:i/>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1"/>
  </w:num>
  <w:num w:numId="2">
    <w:abstractNumId w:val="6"/>
  </w:num>
  <w:num w:numId="3">
    <w:abstractNumId w:val="8"/>
  </w:num>
  <w:num w:numId="4">
    <w:abstractNumId w:val="12"/>
  </w:num>
  <w:num w:numId="5">
    <w:abstractNumId w:val="10"/>
  </w:num>
  <w:num w:numId="6">
    <w:abstractNumId w:val="3"/>
  </w:num>
  <w:num w:numId="7">
    <w:abstractNumId w:val="5"/>
  </w:num>
  <w:num w:numId="8">
    <w:abstractNumId w:val="2"/>
  </w:num>
  <w:num w:numId="9">
    <w:abstractNumId w:val="14"/>
  </w:num>
  <w:num w:numId="10">
    <w:abstractNumId w:val="13"/>
  </w:num>
  <w:num w:numId="11">
    <w:abstractNumId w:val="7"/>
  </w:num>
  <w:num w:numId="12">
    <w:abstractNumId w:val="0"/>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86"/>
    <w:rsid w:val="00036CD5"/>
    <w:rsid w:val="000612EF"/>
    <w:rsid w:val="00080DF9"/>
    <w:rsid w:val="00117224"/>
    <w:rsid w:val="001467D6"/>
    <w:rsid w:val="0015480E"/>
    <w:rsid w:val="00200722"/>
    <w:rsid w:val="002448A9"/>
    <w:rsid w:val="00272566"/>
    <w:rsid w:val="00295D88"/>
    <w:rsid w:val="002D1E9D"/>
    <w:rsid w:val="002F1466"/>
    <w:rsid w:val="00321A81"/>
    <w:rsid w:val="0032578E"/>
    <w:rsid w:val="003C7827"/>
    <w:rsid w:val="004B3697"/>
    <w:rsid w:val="00582B84"/>
    <w:rsid w:val="005C0EDC"/>
    <w:rsid w:val="005E06A6"/>
    <w:rsid w:val="005F5525"/>
    <w:rsid w:val="00602572"/>
    <w:rsid w:val="00652553"/>
    <w:rsid w:val="006673B2"/>
    <w:rsid w:val="006739E3"/>
    <w:rsid w:val="006A64B6"/>
    <w:rsid w:val="007C3B09"/>
    <w:rsid w:val="007C4F7C"/>
    <w:rsid w:val="007F12AD"/>
    <w:rsid w:val="00820352"/>
    <w:rsid w:val="008547FF"/>
    <w:rsid w:val="008B692C"/>
    <w:rsid w:val="00931823"/>
    <w:rsid w:val="00934220"/>
    <w:rsid w:val="00962DF0"/>
    <w:rsid w:val="009878A9"/>
    <w:rsid w:val="009A2FBC"/>
    <w:rsid w:val="009D13F6"/>
    <w:rsid w:val="00A540AF"/>
    <w:rsid w:val="00AD6B86"/>
    <w:rsid w:val="00AE69EE"/>
    <w:rsid w:val="00AF3134"/>
    <w:rsid w:val="00B7303B"/>
    <w:rsid w:val="00B75A15"/>
    <w:rsid w:val="00BA1B71"/>
    <w:rsid w:val="00BA2D09"/>
    <w:rsid w:val="00BB0FB9"/>
    <w:rsid w:val="00BF757A"/>
    <w:rsid w:val="00CB0D9A"/>
    <w:rsid w:val="00CE2D79"/>
    <w:rsid w:val="00D35B2E"/>
    <w:rsid w:val="00D43A56"/>
    <w:rsid w:val="00D95BD6"/>
    <w:rsid w:val="00D9614F"/>
    <w:rsid w:val="00DD6481"/>
    <w:rsid w:val="00E343F3"/>
    <w:rsid w:val="00E35913"/>
    <w:rsid w:val="00E4284E"/>
    <w:rsid w:val="00E43541"/>
    <w:rsid w:val="00E50C0F"/>
    <w:rsid w:val="00E6401F"/>
    <w:rsid w:val="00E64494"/>
    <w:rsid w:val="00E67F67"/>
    <w:rsid w:val="00EA15A3"/>
    <w:rsid w:val="00EE349A"/>
    <w:rsid w:val="00EE4ADA"/>
    <w:rsid w:val="00F51EA0"/>
    <w:rsid w:val="00F5606C"/>
    <w:rsid w:val="00F82006"/>
    <w:rsid w:val="00FC34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7A8B"/>
  <w15:chartTrackingRefBased/>
  <w15:docId w15:val="{3426AE4D-970A-48C5-8DE3-B981F0E2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1151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dc:creator>
  <cp:keywords/>
  <dc:description/>
  <cp:lastModifiedBy>Bruna Duarte Leite</cp:lastModifiedBy>
  <cp:revision>4</cp:revision>
  <dcterms:created xsi:type="dcterms:W3CDTF">2020-09-18T01:27:00Z</dcterms:created>
  <dcterms:modified xsi:type="dcterms:W3CDTF">2020-09-18T15:36:00Z</dcterms:modified>
</cp:coreProperties>
</file>