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2E" w:rsidRDefault="00DF322E">
      <w:pPr>
        <w:pStyle w:val="Corpodetexto"/>
        <w:rPr>
          <w:rFonts w:ascii="Times New Roman"/>
          <w:sz w:val="20"/>
        </w:rPr>
      </w:pPr>
    </w:p>
    <w:p w:rsidR="00DF322E" w:rsidRDefault="00DF322E">
      <w:pPr>
        <w:pStyle w:val="Corpodetexto"/>
        <w:spacing w:before="8"/>
        <w:rPr>
          <w:rFonts w:ascii="Times New Roman"/>
          <w:sz w:val="25"/>
        </w:rPr>
      </w:pPr>
    </w:p>
    <w:p w:rsidR="00DF322E" w:rsidRDefault="00020D2D">
      <w:pPr>
        <w:spacing w:before="90"/>
        <w:ind w:left="2772"/>
        <w:rPr>
          <w:rFonts w:ascii="Times New Roman" w:hAnsi="Times New Roman"/>
          <w:b/>
          <w:sz w:val="2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878839</wp:posOffset>
            </wp:positionH>
            <wp:positionV relativeFrom="paragraph">
              <wp:posOffset>-339685</wp:posOffset>
            </wp:positionV>
            <wp:extent cx="1036955" cy="10369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036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FACULDADE DE DIREITO DA UNIVERSIDADE DE SÃO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PAULO</w:t>
      </w:r>
    </w:p>
    <w:p w:rsidR="00DF322E" w:rsidRDefault="00DF322E">
      <w:pPr>
        <w:pStyle w:val="Corpodetexto"/>
        <w:spacing w:before="11"/>
        <w:rPr>
          <w:rFonts w:ascii="Times New Roman"/>
          <w:b/>
          <w:sz w:val="20"/>
        </w:rPr>
      </w:pPr>
    </w:p>
    <w:p w:rsidR="00DF322E" w:rsidRDefault="00020D2D">
      <w:pPr>
        <w:ind w:left="3079"/>
        <w:rPr>
          <w:rFonts w:ascii="Arial" w:hAnsi="Arial"/>
          <w:b/>
          <w:sz w:val="19"/>
        </w:rPr>
      </w:pPr>
      <w:r>
        <w:rPr>
          <w:rFonts w:ascii="Arial" w:hAnsi="Arial"/>
          <w:b/>
          <w:sz w:val="24"/>
        </w:rPr>
        <w:t>D</w:t>
      </w:r>
      <w:r>
        <w:rPr>
          <w:rFonts w:ascii="Arial" w:hAnsi="Arial"/>
          <w:b/>
          <w:sz w:val="19"/>
        </w:rPr>
        <w:t xml:space="preserve">EPARTAMENTO DE </w:t>
      </w:r>
      <w:r>
        <w:rPr>
          <w:rFonts w:ascii="Arial" w:hAnsi="Arial"/>
          <w:b/>
          <w:sz w:val="24"/>
        </w:rPr>
        <w:t>D</w:t>
      </w:r>
      <w:r>
        <w:rPr>
          <w:rFonts w:ascii="Arial" w:hAnsi="Arial"/>
          <w:b/>
          <w:sz w:val="19"/>
        </w:rPr>
        <w:t xml:space="preserve">IREITO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z w:val="19"/>
        </w:rPr>
        <w:t>CONÔMICO</w:t>
      </w:r>
      <w:r>
        <w:rPr>
          <w:rFonts w:ascii="Arial" w:hAnsi="Arial"/>
          <w:b/>
          <w:sz w:val="24"/>
        </w:rPr>
        <w:t>, F</w:t>
      </w:r>
      <w:r>
        <w:rPr>
          <w:rFonts w:ascii="Arial" w:hAnsi="Arial"/>
          <w:b/>
          <w:sz w:val="19"/>
        </w:rPr>
        <w:t>INANCEIRO E</w:t>
      </w:r>
      <w:r>
        <w:rPr>
          <w:rFonts w:ascii="Arial" w:hAnsi="Arial"/>
          <w:b/>
          <w:spacing w:val="-27"/>
          <w:sz w:val="19"/>
        </w:rPr>
        <w:t xml:space="preserve"> </w:t>
      </w:r>
      <w:proofErr w:type="gramStart"/>
      <w:r>
        <w:rPr>
          <w:rFonts w:ascii="Arial" w:hAnsi="Arial"/>
          <w:b/>
          <w:sz w:val="24"/>
        </w:rPr>
        <w:t>T</w:t>
      </w:r>
      <w:r>
        <w:rPr>
          <w:rFonts w:ascii="Arial" w:hAnsi="Arial"/>
          <w:b/>
          <w:sz w:val="19"/>
        </w:rPr>
        <w:t>RIBUTÁRIO</w:t>
      </w:r>
      <w:proofErr w:type="gramEnd"/>
    </w:p>
    <w:p w:rsidR="00DF322E" w:rsidRDefault="00DF322E">
      <w:pPr>
        <w:pStyle w:val="Corpodetexto"/>
        <w:rPr>
          <w:rFonts w:ascii="Arial"/>
          <w:b/>
          <w:sz w:val="20"/>
        </w:rPr>
      </w:pPr>
    </w:p>
    <w:p w:rsidR="00DF322E" w:rsidRDefault="00DF322E">
      <w:pPr>
        <w:pStyle w:val="Corpodetexto"/>
        <w:rPr>
          <w:rFonts w:ascii="Arial"/>
          <w:b/>
          <w:sz w:val="20"/>
        </w:rPr>
      </w:pPr>
    </w:p>
    <w:p w:rsidR="00DF322E" w:rsidRDefault="00DF322E">
      <w:pPr>
        <w:pStyle w:val="Corpodetexto"/>
        <w:spacing w:before="10"/>
        <w:rPr>
          <w:rFonts w:ascii="Arial"/>
          <w:b/>
          <w:sz w:val="18"/>
        </w:rPr>
      </w:pPr>
    </w:p>
    <w:p w:rsidR="00DF322E" w:rsidRDefault="00020D2D">
      <w:pPr>
        <w:tabs>
          <w:tab w:val="left" w:pos="2262"/>
        </w:tabs>
        <w:spacing w:before="90"/>
        <w:ind w:left="13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Disciplina:</w:t>
      </w:r>
      <w:r>
        <w:rPr>
          <w:rFonts w:ascii="Times New Roman" w:hAnsi="Times New Roman"/>
          <w:b/>
          <w:sz w:val="24"/>
        </w:rPr>
        <w:tab/>
        <w:t>TRIBUTAÇÃO DA ECONOMIA DIGITAL (DEF 0334)</w:t>
      </w:r>
    </w:p>
    <w:p w:rsidR="00DF322E" w:rsidRDefault="00020D2D">
      <w:pPr>
        <w:tabs>
          <w:tab w:val="left" w:pos="2262"/>
        </w:tabs>
        <w:ind w:left="138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Professor: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Paulo Victor Vieira da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Rocha</w:t>
      </w:r>
    </w:p>
    <w:p w:rsidR="00DF322E" w:rsidRDefault="00DF322E">
      <w:pPr>
        <w:pStyle w:val="Corpodetexto"/>
        <w:rPr>
          <w:rFonts w:ascii="Times New Roman"/>
          <w:sz w:val="24"/>
        </w:rPr>
      </w:pPr>
    </w:p>
    <w:p w:rsidR="00DF322E" w:rsidRDefault="00020D2D">
      <w:pPr>
        <w:tabs>
          <w:tab w:val="left" w:pos="2262"/>
        </w:tabs>
        <w:ind w:left="138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Local: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EAD</w:t>
      </w:r>
    </w:p>
    <w:p w:rsidR="00DF322E" w:rsidRDefault="00020D2D">
      <w:pPr>
        <w:tabs>
          <w:tab w:val="left" w:pos="2262"/>
        </w:tabs>
        <w:ind w:left="13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Horário: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Segundas-feiras, das </w:t>
      </w:r>
      <w:proofErr w:type="gramStart"/>
      <w:r>
        <w:rPr>
          <w:rFonts w:ascii="Times New Roman" w:hAnsi="Times New Roman"/>
          <w:sz w:val="24"/>
        </w:rPr>
        <w:t>21:40</w:t>
      </w:r>
      <w:proofErr w:type="gramEnd"/>
      <w:r>
        <w:rPr>
          <w:rFonts w:ascii="Times New Roman" w:hAnsi="Times New Roman"/>
          <w:sz w:val="24"/>
        </w:rPr>
        <w:t>h às 22:25h e das 22:30h às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23:15h</w:t>
      </w:r>
    </w:p>
    <w:p w:rsidR="00DF322E" w:rsidRDefault="00DF322E">
      <w:pPr>
        <w:pStyle w:val="Corpodetexto"/>
        <w:rPr>
          <w:rFonts w:ascii="Times New Roman"/>
          <w:sz w:val="26"/>
        </w:rPr>
      </w:pPr>
    </w:p>
    <w:p w:rsidR="00DF322E" w:rsidRDefault="00DF322E">
      <w:pPr>
        <w:pStyle w:val="Corpodetexto"/>
        <w:rPr>
          <w:rFonts w:ascii="Times New Roman"/>
          <w:sz w:val="22"/>
        </w:rPr>
      </w:pPr>
    </w:p>
    <w:p w:rsidR="00DF322E" w:rsidRDefault="00020D2D">
      <w:pPr>
        <w:spacing w:before="1"/>
        <w:ind w:left="13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ATIVIDADE PARA A PRIMEIRA AVALIAÇÃO NA MATÉRIA</w:t>
      </w:r>
    </w:p>
    <w:p w:rsidR="00DF322E" w:rsidRDefault="00020D2D">
      <w:pPr>
        <w:spacing w:before="2" w:line="550" w:lineRule="atLeast"/>
        <w:ind w:left="138" w:right="4112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LINK GOOGLE MEET: </w:t>
      </w:r>
      <w:proofErr w:type="gramStart"/>
      <w:r>
        <w:rPr>
          <w:rFonts w:ascii="Times New Roman"/>
          <w:b/>
          <w:color w:val="5B9BD4"/>
          <w:sz w:val="24"/>
        </w:rPr>
        <w:t>meet.</w:t>
      </w:r>
      <w:proofErr w:type="gramEnd"/>
      <w:r>
        <w:rPr>
          <w:rFonts w:ascii="Times New Roman"/>
          <w:b/>
          <w:color w:val="5B9BD4"/>
          <w:sz w:val="24"/>
        </w:rPr>
        <w:t xml:space="preserve">google.com/fxv-ikbm-qun </w:t>
      </w:r>
      <w:r>
        <w:rPr>
          <w:rFonts w:ascii="Times New Roman"/>
          <w:b/>
          <w:sz w:val="24"/>
        </w:rPr>
        <w:t>LINK DROPBOX TEXTOS:</w:t>
      </w:r>
    </w:p>
    <w:p w:rsidR="00DF322E" w:rsidRDefault="00020D2D">
      <w:pPr>
        <w:spacing w:before="2"/>
        <w:ind w:left="138" w:right="168"/>
        <w:rPr>
          <w:rFonts w:ascii="Times New Roman"/>
          <w:b/>
          <w:sz w:val="24"/>
        </w:rPr>
      </w:pPr>
      <w:hyperlink r:id="rId7">
        <w:r>
          <w:rPr>
            <w:rFonts w:ascii="Times New Roman"/>
            <w:b/>
            <w:color w:val="0462C1"/>
            <w:sz w:val="24"/>
            <w:u w:val="thick" w:color="0462C1"/>
          </w:rPr>
          <w:t>https://drive.google.com/drive/folders/1MnQgKla_e0uZdaUwPfQWLMgrkmiABT9c?usp=shar</w:t>
        </w:r>
      </w:hyperlink>
      <w:r>
        <w:rPr>
          <w:rFonts w:ascii="Times New Roman"/>
          <w:b/>
          <w:color w:val="0462C1"/>
          <w:sz w:val="24"/>
        </w:rPr>
        <w:t xml:space="preserve"> </w:t>
      </w:r>
      <w:hyperlink r:id="rId8">
        <w:r>
          <w:rPr>
            <w:rFonts w:ascii="Times New Roman"/>
            <w:b/>
            <w:color w:val="0462C1"/>
            <w:sz w:val="24"/>
            <w:u w:val="thick" w:color="0462C1"/>
          </w:rPr>
          <w:t>ing</w:t>
        </w:r>
      </w:hyperlink>
    </w:p>
    <w:p w:rsidR="00DF322E" w:rsidRDefault="00DF322E">
      <w:pPr>
        <w:pStyle w:val="Corpodetexto"/>
        <w:spacing w:before="10"/>
        <w:rPr>
          <w:rFonts w:ascii="Times New Roman"/>
          <w:b/>
          <w:sz w:val="21"/>
        </w:rPr>
      </w:pPr>
    </w:p>
    <w:p w:rsidR="00DF322E" w:rsidRDefault="00020D2D">
      <w:pPr>
        <w:spacing w:after="19"/>
        <w:ind w:left="138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 xml:space="preserve">Auxiliar: </w:t>
      </w:r>
      <w:r>
        <w:rPr>
          <w:rFonts w:ascii="Times New Roman"/>
          <w:sz w:val="24"/>
        </w:rPr>
        <w:t xml:space="preserve">Gabriel Kaique Castro de Mello; </w:t>
      </w:r>
      <w:r>
        <w:rPr>
          <w:rFonts w:ascii="Times New Roman"/>
          <w:b/>
          <w:sz w:val="24"/>
        </w:rPr>
        <w:t xml:space="preserve">e-mail: </w:t>
      </w:r>
      <w:hyperlink r:id="rId9">
        <w:r>
          <w:rPr>
            <w:rFonts w:ascii="Times New Roman"/>
            <w:sz w:val="24"/>
          </w:rPr>
          <w:t xml:space="preserve">gabrielk@usp.br </w:t>
        </w:r>
      </w:hyperlink>
      <w:r>
        <w:rPr>
          <w:rFonts w:ascii="Times New Roman"/>
          <w:sz w:val="24"/>
        </w:rPr>
        <w:t xml:space="preserve">/ </w:t>
      </w:r>
      <w:hyperlink r:id="rId10">
        <w:r>
          <w:rPr>
            <w:rFonts w:ascii="Times New Roman"/>
            <w:sz w:val="24"/>
          </w:rPr>
          <w:t>gabriel.mello@vrbf.com.br</w:t>
        </w:r>
      </w:hyperlink>
    </w:p>
    <w:p w:rsidR="00DF322E" w:rsidRDefault="00020D2D">
      <w:pPr>
        <w:pStyle w:val="Corpodetexto"/>
        <w:spacing w:line="20" w:lineRule="exact"/>
        <w:ind w:left="102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93.2pt;height:.75pt;mso-position-horizontal-relative:char;mso-position-vertical-relative:line" coordsize="9864,15">
            <v:line id="_x0000_s1027" style="position:absolute" from="0,7" to="9864,7" strokeweight=".72pt"/>
            <w10:wrap type="none"/>
            <w10:anchorlock/>
          </v:group>
        </w:pict>
      </w:r>
    </w:p>
    <w:p w:rsidR="00DF322E" w:rsidRDefault="00DF322E">
      <w:pPr>
        <w:pStyle w:val="Corpodetexto"/>
        <w:rPr>
          <w:rFonts w:ascii="Times New Roman"/>
          <w:sz w:val="20"/>
        </w:rPr>
      </w:pPr>
    </w:p>
    <w:p w:rsidR="00DF322E" w:rsidRDefault="00DF322E">
      <w:pPr>
        <w:pStyle w:val="Corpodetexto"/>
        <w:rPr>
          <w:rFonts w:ascii="Times New Roman"/>
          <w:sz w:val="20"/>
        </w:rPr>
      </w:pPr>
    </w:p>
    <w:p w:rsidR="00DF322E" w:rsidRDefault="00DF322E">
      <w:pPr>
        <w:pStyle w:val="Corpodetexto"/>
        <w:rPr>
          <w:rFonts w:ascii="Times New Roman"/>
          <w:sz w:val="20"/>
        </w:rPr>
      </w:pPr>
    </w:p>
    <w:p w:rsidR="00DF322E" w:rsidRDefault="007408D4">
      <w:pPr>
        <w:pStyle w:val="Ttulo1"/>
        <w:spacing w:before="210"/>
        <w:jc w:val="both"/>
      </w:pPr>
      <w:r>
        <w:t>CASO 01 – Grupos: (</w:t>
      </w:r>
      <w:r w:rsidR="00020D2D">
        <w:t xml:space="preserve">Sala 01: </w:t>
      </w:r>
      <w:r>
        <w:t>grupo 01</w:t>
      </w:r>
      <w:r w:rsidR="00020D2D">
        <w:t xml:space="preserve"> com o grupo 02</w:t>
      </w:r>
      <w:r>
        <w:t xml:space="preserve">; </w:t>
      </w:r>
      <w:r w:rsidR="00020D2D">
        <w:t xml:space="preserve">Sala 02: </w:t>
      </w:r>
      <w:r>
        <w:t xml:space="preserve">grupo 07 com o grupo </w:t>
      </w:r>
      <w:proofErr w:type="gramStart"/>
      <w:r>
        <w:t>8</w:t>
      </w:r>
      <w:proofErr w:type="gramEnd"/>
      <w:r w:rsidR="00020D2D">
        <w:t>)</w:t>
      </w:r>
    </w:p>
    <w:p w:rsidR="00DF322E" w:rsidRDefault="00DF322E">
      <w:pPr>
        <w:pStyle w:val="Corpodetexto"/>
        <w:spacing w:before="3"/>
        <w:rPr>
          <w:b/>
          <w:sz w:val="36"/>
        </w:rPr>
      </w:pPr>
    </w:p>
    <w:p w:rsidR="00DF322E" w:rsidRDefault="00020D2D">
      <w:pPr>
        <w:pStyle w:val="Corpodetexto"/>
        <w:spacing w:before="1" w:line="276" w:lineRule="auto"/>
        <w:ind w:left="138" w:right="138"/>
        <w:jc w:val="both"/>
      </w:pPr>
      <w:r>
        <w:t xml:space="preserve">A Macrohard é uma das maiores multinacionais do planeta e possui uma subsidiaria brasileira (Macrohard Brasil Ltda.), por meio da qual comercializa seus principais </w:t>
      </w:r>
      <w:r>
        <w:t xml:space="preserve">produtos, dentre eles o pacote de programas de computador chamado Oficina. A Macrohard Brasil comercializa duas versões </w:t>
      </w:r>
      <w:proofErr w:type="gramStart"/>
      <w:r>
        <w:t>do Oficina</w:t>
      </w:r>
      <w:proofErr w:type="gramEnd"/>
      <w:r>
        <w:t>, uma delas a clássica, por meio da qual o consumidor adquire por meio do site da Macrohard Brasil a licença de uso do program</w:t>
      </w:r>
      <w:r>
        <w:t xml:space="preserve">a e outra na qual o usuário não adquire licença de uso, mas apenas paga uma “mensalidade” que lhe permite usar o programa enquanto ele pagar pela mensalidade. A licença clássica também pode ser comercializada por meio de mídia física. Se for esta a opção, </w:t>
      </w:r>
      <w:r>
        <w:t>a Macrohard faz a entrega gratuita da mídia no endereço do adquirente. Mas esta modalidade de aquisição tem sido cada vez mais</w:t>
      </w:r>
      <w:r>
        <w:rPr>
          <w:spacing w:val="-20"/>
        </w:rPr>
        <w:t xml:space="preserve"> </w:t>
      </w:r>
      <w:r>
        <w:t>rara.</w:t>
      </w:r>
    </w:p>
    <w:p w:rsidR="00DF322E" w:rsidRDefault="00DF322E">
      <w:pPr>
        <w:pStyle w:val="Corpodetexto"/>
        <w:spacing w:before="3"/>
        <w:rPr>
          <w:sz w:val="32"/>
        </w:rPr>
      </w:pPr>
    </w:p>
    <w:p w:rsidR="00DF322E" w:rsidRDefault="00020D2D">
      <w:pPr>
        <w:pStyle w:val="Corpodetexto"/>
        <w:spacing w:before="1" w:line="276" w:lineRule="auto"/>
        <w:ind w:left="138" w:right="138"/>
        <w:jc w:val="both"/>
      </w:pPr>
      <w:r>
        <w:t>Entendendo-se um contribuinte do ISS, a Macrohard Brasil sempre apurou, declarou e recolheu ISS, para o Município de São P</w:t>
      </w:r>
      <w:r>
        <w:t>aulo, local de sua sede. Contudo, em</w:t>
      </w:r>
    </w:p>
    <w:p w:rsidR="00DF322E" w:rsidRDefault="00DF322E">
      <w:pPr>
        <w:spacing w:line="276" w:lineRule="auto"/>
        <w:jc w:val="both"/>
        <w:sectPr w:rsidR="00DF322E">
          <w:type w:val="continuous"/>
          <w:pgSz w:w="12250" w:h="15850"/>
          <w:pgMar w:top="800" w:right="880" w:bottom="280" w:left="1280" w:header="720" w:footer="720" w:gutter="0"/>
          <w:cols w:space="720"/>
        </w:sectPr>
      </w:pPr>
    </w:p>
    <w:p w:rsidR="00DF322E" w:rsidRDefault="00020D2D">
      <w:pPr>
        <w:pStyle w:val="Corpodetexto"/>
        <w:spacing w:before="18" w:line="276" w:lineRule="auto"/>
        <w:ind w:left="138" w:right="138"/>
        <w:jc w:val="both"/>
      </w:pPr>
      <w:r>
        <w:lastRenderedPageBreak/>
        <w:t>1/4/2020, a Macrohard Brasil foi surpreendida pela lavratura de um auto de infração pelo Estado de São Paulo, cobrando-lhe o ICMS relativo a todas as vendas de Oficina que efetuou na modalidade “venda de</w:t>
      </w:r>
      <w:r>
        <w:t xml:space="preserve"> licença de uso” nos exercícios de 2018, 2019 e até setembro de 2020.</w:t>
      </w:r>
    </w:p>
    <w:p w:rsidR="00DF322E" w:rsidRDefault="00DF322E">
      <w:pPr>
        <w:pStyle w:val="Corpodetexto"/>
        <w:spacing w:before="3"/>
        <w:rPr>
          <w:sz w:val="32"/>
        </w:rPr>
      </w:pPr>
    </w:p>
    <w:p w:rsidR="00DF322E" w:rsidRDefault="00020D2D">
      <w:pPr>
        <w:pStyle w:val="Corpodetexto"/>
        <w:spacing w:line="276" w:lineRule="auto"/>
        <w:ind w:left="138" w:right="136"/>
        <w:jc w:val="both"/>
      </w:pPr>
      <w:r>
        <w:t>A empresa procurou seus advogados, que impugnaram o auto de infração, por entender ser contribuinte de ISS e não de ICMS, nos termos da Constituição da Lei Complementar. A impugnação fo</w:t>
      </w:r>
      <w:r>
        <w:t>i julgada improcedente pela Delegacia Tributária de Julgamento (DTJ) e a empresa interpôs recurso ordinário ao Tribunal de Impostos e Taxas da SEFAZ/SP, que também manteve a autuação, alegando que não poderia declarar inconstitucional a legislação paulista</w:t>
      </w:r>
      <w:r>
        <w:t xml:space="preserve"> e nem mesmo ilegal.</w:t>
      </w:r>
    </w:p>
    <w:p w:rsidR="00DF322E" w:rsidRDefault="00020D2D">
      <w:pPr>
        <w:pStyle w:val="Corpodetexto"/>
        <w:spacing w:line="276" w:lineRule="auto"/>
        <w:ind w:left="138" w:right="141"/>
        <w:jc w:val="both"/>
      </w:pPr>
      <w:r>
        <w:t>A Macrohard ajuizou uma ação anulatória em face da autuação, que está pendente de</w:t>
      </w:r>
      <w:r>
        <w:rPr>
          <w:spacing w:val="-2"/>
        </w:rPr>
        <w:t xml:space="preserve"> </w:t>
      </w:r>
      <w:r>
        <w:t>julgamento.</w:t>
      </w:r>
    </w:p>
    <w:p w:rsidR="00DF322E" w:rsidRDefault="00DF322E">
      <w:pPr>
        <w:pStyle w:val="Corpodetexto"/>
        <w:spacing w:before="3"/>
        <w:rPr>
          <w:sz w:val="32"/>
        </w:rPr>
      </w:pPr>
    </w:p>
    <w:p w:rsidR="00DF322E" w:rsidRDefault="00020D2D">
      <w:pPr>
        <w:pStyle w:val="Corpodetexto"/>
        <w:spacing w:line="273" w:lineRule="auto"/>
        <w:ind w:left="138" w:right="138"/>
        <w:jc w:val="both"/>
      </w:pPr>
      <w:r>
        <w:t xml:space="preserve">Como representantes da Macrohard, o </w:t>
      </w:r>
      <w:r w:rsidR="007408D4">
        <w:rPr>
          <w:b/>
        </w:rPr>
        <w:t>Grupo um/oito</w:t>
      </w:r>
      <w:proofErr w:type="gramStart"/>
      <w:r w:rsidR="007408D4">
        <w:rPr>
          <w:b/>
        </w:rPr>
        <w:t xml:space="preserve"> </w:t>
      </w:r>
      <w:r>
        <w:rPr>
          <w:b/>
        </w:rPr>
        <w:t xml:space="preserve"> </w:t>
      </w:r>
      <w:proofErr w:type="gramEnd"/>
      <w:r>
        <w:t>deve defender a improcedência da cobrança de ICMS.</w:t>
      </w:r>
    </w:p>
    <w:p w:rsidR="00DF322E" w:rsidRDefault="00DF322E">
      <w:pPr>
        <w:pStyle w:val="Corpodetexto"/>
        <w:spacing w:before="9"/>
        <w:rPr>
          <w:sz w:val="32"/>
        </w:rPr>
      </w:pPr>
    </w:p>
    <w:p w:rsidR="00DF322E" w:rsidRDefault="00020D2D">
      <w:pPr>
        <w:pStyle w:val="Corpodetexto"/>
        <w:ind w:left="138"/>
        <w:rPr>
          <w:b/>
        </w:rPr>
      </w:pPr>
      <w:r>
        <w:t xml:space="preserve">Como representantes da Fazenda Pública do Estado de São Paulo, o </w:t>
      </w:r>
      <w:r w:rsidR="007408D4">
        <w:rPr>
          <w:b/>
        </w:rPr>
        <w:t>Grupo dois/</w:t>
      </w:r>
      <w:proofErr w:type="gramStart"/>
      <w:r w:rsidR="007408D4">
        <w:rPr>
          <w:b/>
        </w:rPr>
        <w:t>sete</w:t>
      </w:r>
      <w:proofErr w:type="gramEnd"/>
    </w:p>
    <w:p w:rsidR="00DF322E" w:rsidRDefault="00020D2D">
      <w:pPr>
        <w:pStyle w:val="Corpodetexto"/>
        <w:spacing w:before="52"/>
        <w:ind w:left="138"/>
      </w:pPr>
      <w:proofErr w:type="gramStart"/>
      <w:r>
        <w:t>deve</w:t>
      </w:r>
      <w:proofErr w:type="gramEnd"/>
      <w:r>
        <w:t xml:space="preserve"> defender a procedência da cobrança.</w:t>
      </w:r>
    </w:p>
    <w:p w:rsidR="00DF322E" w:rsidRDefault="00DF322E">
      <w:pPr>
        <w:pStyle w:val="Corpodetexto"/>
        <w:spacing w:before="3"/>
        <w:rPr>
          <w:sz w:val="36"/>
        </w:rPr>
      </w:pPr>
    </w:p>
    <w:p w:rsidR="00DF322E" w:rsidRDefault="00020D2D">
      <w:pPr>
        <w:pStyle w:val="Ttulo1"/>
      </w:pPr>
      <w:r>
        <w:t xml:space="preserve">CASO 02 – Grupos: (Sala 01: </w:t>
      </w:r>
      <w:r w:rsidR="00561E70">
        <w:t xml:space="preserve">grupo </w:t>
      </w:r>
      <w:r w:rsidR="007408D4">
        <w:t xml:space="preserve">03 com o </w:t>
      </w:r>
      <w:r w:rsidR="00561E70">
        <w:t xml:space="preserve">grupo </w:t>
      </w:r>
      <w:r w:rsidR="007408D4">
        <w:t>04</w:t>
      </w:r>
      <w:r w:rsidR="00561E70">
        <w:t xml:space="preserve">; </w:t>
      </w:r>
      <w:r>
        <w:t xml:space="preserve">Sala 02: </w:t>
      </w:r>
      <w:r w:rsidR="00561E70">
        <w:t>grupo 09 com o grupo 10</w:t>
      </w:r>
      <w:proofErr w:type="gramStart"/>
      <w:r>
        <w:t>)</w:t>
      </w:r>
      <w:proofErr w:type="gramEnd"/>
    </w:p>
    <w:p w:rsidR="00DF322E" w:rsidRDefault="00DF322E">
      <w:pPr>
        <w:pStyle w:val="Corpodetexto"/>
        <w:spacing w:before="6"/>
        <w:rPr>
          <w:b/>
          <w:sz w:val="36"/>
        </w:rPr>
      </w:pPr>
    </w:p>
    <w:p w:rsidR="00DF322E" w:rsidRDefault="00020D2D">
      <w:pPr>
        <w:pStyle w:val="Corpodetexto"/>
        <w:spacing w:line="276" w:lineRule="auto"/>
        <w:ind w:left="138" w:right="142"/>
        <w:jc w:val="both"/>
      </w:pPr>
      <w:r>
        <w:t>A Mercearia da Dona Maria fica localizada em Santa Henriqueta do Jucurucunga, perto da div</w:t>
      </w:r>
      <w:r>
        <w:t>isa entre os Estados de São Paulo e Mato Grosso do Sul, uma cidade pequena, com IDH e renda per capita consideravelmente abaixo da média do Estado de São Paulo (onde se</w:t>
      </w:r>
      <w:r>
        <w:rPr>
          <w:spacing w:val="-7"/>
        </w:rPr>
        <w:t xml:space="preserve"> </w:t>
      </w:r>
      <w:r>
        <w:t>localiza).</w:t>
      </w:r>
    </w:p>
    <w:p w:rsidR="00DF322E" w:rsidRDefault="00DF322E">
      <w:pPr>
        <w:pStyle w:val="Corpodetexto"/>
        <w:spacing w:before="3"/>
        <w:rPr>
          <w:sz w:val="32"/>
        </w:rPr>
      </w:pPr>
    </w:p>
    <w:p w:rsidR="00DF322E" w:rsidRDefault="00020D2D">
      <w:pPr>
        <w:pStyle w:val="Corpodetexto"/>
        <w:spacing w:before="1" w:line="276" w:lineRule="auto"/>
        <w:ind w:left="138" w:right="135"/>
        <w:jc w:val="both"/>
      </w:pPr>
      <w:r>
        <w:t>Em 2008 foram instituídas as regras de substituição tributária de São Paulo</w:t>
      </w:r>
      <w:r>
        <w:t>, por lei que determinou a aplicação de uma nova margem de valor agregado, de 128%, às bebidas alcoólicas em geral. Como caso de substituição tributária “para frente”, o que se tem é obrigação imposta ao fabricante, de aplicar referida margem sobre o seu p</w:t>
      </w:r>
      <w:r>
        <w:t>reço de venda e incluir no preço cobrado do distribuidor o respectivo</w:t>
      </w:r>
      <w:r>
        <w:rPr>
          <w:spacing w:val="-20"/>
        </w:rPr>
        <w:t xml:space="preserve"> </w:t>
      </w:r>
      <w:r>
        <w:t>ICMS.</w:t>
      </w:r>
    </w:p>
    <w:p w:rsidR="00DF322E" w:rsidRDefault="00DF322E">
      <w:pPr>
        <w:spacing w:line="276" w:lineRule="auto"/>
        <w:jc w:val="both"/>
        <w:sectPr w:rsidR="00DF322E">
          <w:pgSz w:w="12250" w:h="15850"/>
          <w:pgMar w:top="1400" w:right="880" w:bottom="280" w:left="1280" w:header="720" w:footer="720" w:gutter="0"/>
          <w:cols w:space="720"/>
        </w:sectPr>
      </w:pPr>
    </w:p>
    <w:p w:rsidR="00DF322E" w:rsidRDefault="00020D2D">
      <w:pPr>
        <w:pStyle w:val="Corpodetexto"/>
        <w:spacing w:before="18" w:line="276" w:lineRule="auto"/>
        <w:ind w:left="138" w:right="135"/>
        <w:jc w:val="both"/>
      </w:pPr>
      <w:r>
        <w:lastRenderedPageBreak/>
        <w:t xml:space="preserve">Apenas a título de esclarecimento, a regra geral de tributos plurifásicos, como o ICMS, é a incidência do imposto em cada etapa do ciclo da mercadoria, desde a venda </w:t>
      </w:r>
      <w:r>
        <w:t xml:space="preserve">do industrial até a venda do varejista ao consumidor final. No regime de substituição tributária “para frente” o imposto só é devido pelo primeiro agente da cadeia, normalmente industrial ou importador. Este, ao efetuar a primeira venda deve pagar imposto </w:t>
      </w:r>
      <w:r>
        <w:t xml:space="preserve">não sobre o valor da sua própria operação, mas pelo valor que se presume alcançará a última operação da cadeia, com base em valores médios de mercado ou preço de venda </w:t>
      </w:r>
      <w:proofErr w:type="gramStart"/>
      <w:r>
        <w:t>a consumidor</w:t>
      </w:r>
      <w:proofErr w:type="gramEnd"/>
      <w:r>
        <w:t xml:space="preserve"> final sugerido por fabricante, quando houver. Para isso, o responsável pelo</w:t>
      </w:r>
      <w:r>
        <w:t xml:space="preserve"> pagamento do imposto aplica sobre o valor da sua operação uma margem de valor agregado, chegando, assim, à base de cálculo que corresponde à tributação de todas as operações da cadeia, antes de elas</w:t>
      </w:r>
      <w:proofErr w:type="gramStart"/>
      <w:r>
        <w:t xml:space="preserve">  </w:t>
      </w:r>
      <w:proofErr w:type="gramEnd"/>
      <w:r>
        <w:t>acontecerem propriamente, uma tributação</w:t>
      </w:r>
      <w:r>
        <w:rPr>
          <w:spacing w:val="-4"/>
        </w:rPr>
        <w:t xml:space="preserve"> </w:t>
      </w:r>
      <w:r>
        <w:t>antecipada.</w:t>
      </w:r>
    </w:p>
    <w:p w:rsidR="00DF322E" w:rsidRDefault="00DF322E">
      <w:pPr>
        <w:pStyle w:val="Corpodetexto"/>
        <w:spacing w:before="3"/>
        <w:rPr>
          <w:sz w:val="32"/>
        </w:rPr>
      </w:pPr>
    </w:p>
    <w:p w:rsidR="00DF322E" w:rsidRDefault="00020D2D">
      <w:pPr>
        <w:pStyle w:val="Corpodetexto"/>
        <w:spacing w:line="276" w:lineRule="auto"/>
        <w:ind w:left="138" w:right="142"/>
        <w:jc w:val="both"/>
      </w:pPr>
      <w:r>
        <w:t>E</w:t>
      </w:r>
      <w:r>
        <w:t xml:space="preserve">sta margem de valor agregado de 128% reflete realmente a média do valor agregado a estas bebidas em seu ciclo até a venda </w:t>
      </w:r>
      <w:proofErr w:type="gramStart"/>
      <w:r>
        <w:t>a consumidor</w:t>
      </w:r>
      <w:proofErr w:type="gramEnd"/>
      <w:r>
        <w:t xml:space="preserve"> final. Não obstante, as peculiaridades do município de Santa Henriqueta do Jucurucunga fazem com que desde a aquisição da</w:t>
      </w:r>
      <w:r>
        <w:t>s bebidas por um distribuidor lá localizado até a venda aos consumidores finais das bebidas, haja uma margem de valor agregado real, que, na média do município, é de 58%.</w:t>
      </w:r>
    </w:p>
    <w:p w:rsidR="00DF322E" w:rsidRDefault="00DF322E">
      <w:pPr>
        <w:pStyle w:val="Corpodetexto"/>
        <w:spacing w:before="2"/>
        <w:rPr>
          <w:sz w:val="32"/>
        </w:rPr>
      </w:pPr>
    </w:p>
    <w:p w:rsidR="00DF322E" w:rsidRDefault="00020D2D">
      <w:pPr>
        <w:pStyle w:val="Corpodetexto"/>
        <w:spacing w:line="276" w:lineRule="auto"/>
        <w:ind w:left="138" w:right="148"/>
        <w:jc w:val="both"/>
      </w:pPr>
      <w:r>
        <w:t>Isso gerou um aumento significativo de preços no município, conhecido por seu baixo custo de vida.</w:t>
      </w:r>
    </w:p>
    <w:p w:rsidR="00DF322E" w:rsidRDefault="00DF322E">
      <w:pPr>
        <w:pStyle w:val="Corpodetexto"/>
        <w:spacing w:before="4"/>
        <w:rPr>
          <w:sz w:val="32"/>
        </w:rPr>
      </w:pPr>
    </w:p>
    <w:p w:rsidR="00DF322E" w:rsidRDefault="00020D2D">
      <w:pPr>
        <w:pStyle w:val="Corpodetexto"/>
        <w:spacing w:line="276" w:lineRule="auto"/>
        <w:ind w:left="138" w:right="140"/>
        <w:jc w:val="both"/>
      </w:pPr>
      <w:r>
        <w:t>Diante disso, a Mercearia da Dona Maria, maior estabelecimento de comércio varejista do município, resolveu impetrar mandado de segurança, pleiteado a devol</w:t>
      </w:r>
      <w:r>
        <w:t>ução da diferença entre o imposto pago antecipadamente pela base de cálculo presumida e o imposto que seria devido se a base de cálculo do seu ICMS e do distribuidor local tivesse sido o preço efetivo de cada operação.</w:t>
      </w:r>
    </w:p>
    <w:p w:rsidR="00DF322E" w:rsidRDefault="00DF322E">
      <w:pPr>
        <w:pStyle w:val="Corpodetexto"/>
      </w:pPr>
    </w:p>
    <w:p w:rsidR="00DF322E" w:rsidRDefault="00DF322E">
      <w:pPr>
        <w:pStyle w:val="Corpodetexto"/>
        <w:spacing w:before="4"/>
        <w:rPr>
          <w:sz w:val="36"/>
        </w:rPr>
      </w:pPr>
    </w:p>
    <w:p w:rsidR="00DF322E" w:rsidRDefault="00020D2D">
      <w:pPr>
        <w:spacing w:line="276" w:lineRule="auto"/>
        <w:ind w:left="138" w:right="141"/>
        <w:jc w:val="both"/>
        <w:rPr>
          <w:sz w:val="28"/>
        </w:rPr>
      </w:pPr>
      <w:r>
        <w:rPr>
          <w:sz w:val="28"/>
        </w:rPr>
        <w:t xml:space="preserve">À luz da matéria do consequente da </w:t>
      </w:r>
      <w:r>
        <w:rPr>
          <w:sz w:val="28"/>
        </w:rPr>
        <w:t xml:space="preserve">regra matriz de incidência tributária, especialmente, a base de cálculo, </w:t>
      </w:r>
      <w:r>
        <w:rPr>
          <w:i/>
          <w:sz w:val="28"/>
        </w:rPr>
        <w:t>não levando em conta a sujeição passiva</w:t>
      </w:r>
      <w:r>
        <w:rPr>
          <w:sz w:val="28"/>
        </w:rPr>
        <w:t>:</w:t>
      </w:r>
    </w:p>
    <w:p w:rsidR="00DF322E" w:rsidRDefault="00DF322E">
      <w:pPr>
        <w:spacing w:line="276" w:lineRule="auto"/>
        <w:jc w:val="both"/>
        <w:rPr>
          <w:sz w:val="28"/>
        </w:rPr>
        <w:sectPr w:rsidR="00DF322E">
          <w:pgSz w:w="12250" w:h="15850"/>
          <w:pgMar w:top="1400" w:right="880" w:bottom="280" w:left="1280" w:header="720" w:footer="720" w:gutter="0"/>
          <w:cols w:space="720"/>
        </w:sectPr>
      </w:pPr>
    </w:p>
    <w:p w:rsidR="00DF322E" w:rsidRDefault="00020D2D">
      <w:pPr>
        <w:pStyle w:val="PargrafodaLista"/>
        <w:numPr>
          <w:ilvl w:val="0"/>
          <w:numId w:val="1"/>
        </w:numPr>
        <w:tabs>
          <w:tab w:val="left" w:pos="1209"/>
        </w:tabs>
        <w:spacing w:before="18" w:line="276" w:lineRule="auto"/>
        <w:ind w:firstLine="0"/>
        <w:jc w:val="both"/>
        <w:rPr>
          <w:sz w:val="28"/>
        </w:rPr>
      </w:pPr>
      <w:proofErr w:type="gramStart"/>
      <w:r>
        <w:rPr>
          <w:sz w:val="28"/>
        </w:rPr>
        <w:lastRenderedPageBreak/>
        <w:t>como</w:t>
      </w:r>
      <w:proofErr w:type="gramEnd"/>
      <w:r>
        <w:rPr>
          <w:sz w:val="28"/>
        </w:rPr>
        <w:t xml:space="preserve"> representantes do Fisco (</w:t>
      </w:r>
      <w:r w:rsidR="00561E70">
        <w:rPr>
          <w:b/>
          <w:sz w:val="28"/>
        </w:rPr>
        <w:t>grupo três/grupo 09</w:t>
      </w:r>
      <w:r>
        <w:rPr>
          <w:sz w:val="28"/>
        </w:rPr>
        <w:t>), os argumentos cabíveis para justificar a manutenção da cobrança do imposto em bases presumidas;</w:t>
      </w:r>
      <w:r>
        <w:rPr>
          <w:spacing w:val="-23"/>
          <w:sz w:val="28"/>
        </w:rPr>
        <w:t xml:space="preserve"> </w:t>
      </w:r>
      <w:r>
        <w:rPr>
          <w:sz w:val="28"/>
        </w:rPr>
        <w:t>e</w:t>
      </w:r>
    </w:p>
    <w:p w:rsidR="00DF322E" w:rsidRDefault="00DF322E">
      <w:pPr>
        <w:pStyle w:val="Corpodetexto"/>
        <w:spacing w:before="2"/>
        <w:rPr>
          <w:sz w:val="32"/>
        </w:rPr>
      </w:pPr>
    </w:p>
    <w:p w:rsidR="00DF322E" w:rsidRDefault="00020D2D">
      <w:pPr>
        <w:pStyle w:val="PargrafodaLista"/>
        <w:numPr>
          <w:ilvl w:val="0"/>
          <w:numId w:val="1"/>
        </w:numPr>
        <w:tabs>
          <w:tab w:val="left" w:pos="1327"/>
        </w:tabs>
        <w:spacing w:line="276" w:lineRule="auto"/>
        <w:ind w:firstLine="0"/>
        <w:jc w:val="both"/>
        <w:rPr>
          <w:sz w:val="28"/>
        </w:rPr>
      </w:pPr>
      <w:proofErr w:type="gramStart"/>
      <w:r>
        <w:rPr>
          <w:sz w:val="28"/>
        </w:rPr>
        <w:t>como</w:t>
      </w:r>
      <w:proofErr w:type="gramEnd"/>
      <w:r>
        <w:rPr>
          <w:sz w:val="28"/>
        </w:rPr>
        <w:t xml:space="preserve"> representantes do Contribuinte (</w:t>
      </w:r>
      <w:r w:rsidR="00561E70">
        <w:rPr>
          <w:b/>
          <w:sz w:val="28"/>
        </w:rPr>
        <w:t>grupo quatro/grupo 10</w:t>
      </w:r>
      <w:r>
        <w:rPr>
          <w:sz w:val="28"/>
        </w:rPr>
        <w:t>), os argumentos cabíveis para não se submeter ao regime de “substituição tributária por fato gerador</w:t>
      </w:r>
      <w:r>
        <w:rPr>
          <w:spacing w:val="-1"/>
          <w:sz w:val="28"/>
        </w:rPr>
        <w:t xml:space="preserve"> </w:t>
      </w:r>
      <w:r>
        <w:rPr>
          <w:sz w:val="28"/>
        </w:rPr>
        <w:t>pres</w:t>
      </w:r>
      <w:r>
        <w:rPr>
          <w:sz w:val="28"/>
        </w:rPr>
        <w:t>umido”.</w:t>
      </w:r>
    </w:p>
    <w:p w:rsidR="00DF322E" w:rsidRDefault="00DF322E">
      <w:pPr>
        <w:pStyle w:val="Corpodetexto"/>
        <w:spacing w:before="2"/>
        <w:rPr>
          <w:sz w:val="32"/>
        </w:rPr>
      </w:pPr>
    </w:p>
    <w:p w:rsidR="00DF322E" w:rsidRDefault="00020D2D">
      <w:pPr>
        <w:pStyle w:val="Ttulo1"/>
        <w:ind w:left="846"/>
      </w:pPr>
      <w:r>
        <w:t xml:space="preserve">CASO 03 – Grupos: (Sala 01: </w:t>
      </w:r>
      <w:r w:rsidR="000A3853">
        <w:t xml:space="preserve">grupo 05 com o grupo 06; </w:t>
      </w:r>
      <w:r>
        <w:t xml:space="preserve">Sala 02: </w:t>
      </w:r>
      <w:bookmarkStart w:id="0" w:name="_GoBack"/>
      <w:bookmarkEnd w:id="0"/>
      <w:r w:rsidR="000A3853">
        <w:t>grupo 11 com o grupo 12</w:t>
      </w:r>
      <w:proofErr w:type="gramStart"/>
      <w:r>
        <w:t>)</w:t>
      </w:r>
      <w:proofErr w:type="gramEnd"/>
    </w:p>
    <w:p w:rsidR="00DF322E" w:rsidRDefault="00DF322E">
      <w:pPr>
        <w:pStyle w:val="Corpodetexto"/>
        <w:spacing w:before="6"/>
        <w:rPr>
          <w:b/>
          <w:sz w:val="36"/>
        </w:rPr>
      </w:pPr>
    </w:p>
    <w:p w:rsidR="00DF322E" w:rsidRDefault="00020D2D">
      <w:pPr>
        <w:pStyle w:val="Corpodetexto"/>
        <w:spacing w:before="1" w:line="276" w:lineRule="auto"/>
        <w:ind w:left="138" w:right="136"/>
        <w:jc w:val="both"/>
      </w:pPr>
      <w:r>
        <w:t>A Macrohard é uma das maiores multinacionais do planeta e possui uma subsidiaria brasileira (Macrohard Brasil Ltda.), por meio da qual comercializa, sem nenhuma exclusividade, seus princip</w:t>
      </w:r>
      <w:r>
        <w:t xml:space="preserve">ais produtos, dentre eles o pacote de programas de computador chamado Oficina. A Macrohard Brasil comercializa duas versões </w:t>
      </w:r>
      <w:proofErr w:type="gramStart"/>
      <w:r>
        <w:t>do Oficina</w:t>
      </w:r>
      <w:proofErr w:type="gramEnd"/>
      <w:r>
        <w:t>, uma delas a clássica, por meio da qual o consumidor adquire por meio do site da Macrohard Brasil a licença de uso do pro</w:t>
      </w:r>
      <w:r>
        <w:t xml:space="preserve">grama e outra na qual o usuário não adquire licença de uso, mas apenas paga uma “mensalidade” que lhe permite usar o </w:t>
      </w:r>
      <w:proofErr w:type="gramStart"/>
      <w:r>
        <w:t>programa</w:t>
      </w:r>
      <w:proofErr w:type="gramEnd"/>
      <w:r>
        <w:t xml:space="preserve"> enquanto ele pagar pela mensalidade. A licença clássica também pode ser comercializada por meio de mídia física. Se for esta a opç</w:t>
      </w:r>
      <w:r>
        <w:t>ão, a Macrohard faz a entrega gratuita da mídia no endereço do adquirente. Mas esta modalidade de aquisição tem sido cada vez mais rara.</w:t>
      </w:r>
    </w:p>
    <w:p w:rsidR="00DF322E" w:rsidRDefault="00DF322E">
      <w:pPr>
        <w:pStyle w:val="Corpodetexto"/>
        <w:spacing w:before="2"/>
        <w:rPr>
          <w:sz w:val="32"/>
        </w:rPr>
      </w:pPr>
    </w:p>
    <w:p w:rsidR="00DF322E" w:rsidRDefault="00020D2D">
      <w:pPr>
        <w:pStyle w:val="Corpodetexto"/>
        <w:spacing w:line="276" w:lineRule="auto"/>
        <w:ind w:left="138" w:right="139"/>
        <w:jc w:val="both"/>
      </w:pPr>
      <w:r>
        <w:t xml:space="preserve">A Macrohard Brasil é detida pela Macrohard Inc., constituída nos Estados Unidos da América. A Macrohard Inc., além da Macrohard Brasil, detém a Macrohard S.A., constituída na Espanha. </w:t>
      </w:r>
      <w:proofErr w:type="gramStart"/>
      <w:r>
        <w:t>Toda a análise e acompanhamento do mercado brasileiro é</w:t>
      </w:r>
      <w:proofErr w:type="gramEnd"/>
      <w:r>
        <w:t xml:space="preserve"> feito pela Macro</w:t>
      </w:r>
      <w:r>
        <w:t>hard S.A. E ela detém a licença de distribuição para a América Latina, cedida pela MAcrohard Inc.</w:t>
      </w:r>
    </w:p>
    <w:p w:rsidR="00DF322E" w:rsidRDefault="00DF322E">
      <w:pPr>
        <w:pStyle w:val="Corpodetexto"/>
        <w:spacing w:before="3"/>
        <w:rPr>
          <w:sz w:val="32"/>
        </w:rPr>
      </w:pPr>
    </w:p>
    <w:p w:rsidR="00DF322E" w:rsidRDefault="00020D2D">
      <w:pPr>
        <w:pStyle w:val="Corpodetexto"/>
        <w:spacing w:before="1" w:line="276" w:lineRule="auto"/>
        <w:ind w:left="138" w:right="138"/>
        <w:jc w:val="both"/>
      </w:pPr>
      <w:r>
        <w:t>Por conta disso, quem vende para a Macrohard Brasil e para todos os distribuidores brasileiros do pacote Oficina a licença de distribuição é a Macrohard S.A.</w:t>
      </w:r>
      <w:r>
        <w:t xml:space="preserve"> de modo que todos os revendedores de Oficina no Brasil, pagam à Macrohard S.A. (Espanha) por sua (sub</w:t>
      </w:r>
      <w:proofErr w:type="gramStart"/>
      <w:r>
        <w:t>)licença</w:t>
      </w:r>
      <w:proofErr w:type="gramEnd"/>
      <w:r>
        <w:t xml:space="preserve"> de</w:t>
      </w:r>
      <w:r>
        <w:rPr>
          <w:spacing w:val="-12"/>
        </w:rPr>
        <w:t xml:space="preserve"> </w:t>
      </w:r>
      <w:r>
        <w:t>distribuição.</w:t>
      </w:r>
    </w:p>
    <w:p w:rsidR="00DF322E" w:rsidRDefault="00DF322E">
      <w:pPr>
        <w:spacing w:line="276" w:lineRule="auto"/>
        <w:jc w:val="both"/>
        <w:sectPr w:rsidR="00DF322E">
          <w:pgSz w:w="12250" w:h="15850"/>
          <w:pgMar w:top="1400" w:right="880" w:bottom="280" w:left="1280" w:header="720" w:footer="720" w:gutter="0"/>
          <w:cols w:space="720"/>
        </w:sectPr>
      </w:pPr>
    </w:p>
    <w:p w:rsidR="00DF322E" w:rsidRDefault="00020D2D">
      <w:pPr>
        <w:pStyle w:val="Corpodetexto"/>
        <w:spacing w:before="18" w:line="276" w:lineRule="auto"/>
        <w:ind w:left="138" w:right="145"/>
        <w:jc w:val="both"/>
      </w:pPr>
      <w:r>
        <w:lastRenderedPageBreak/>
        <w:t>Diante do acordo de bitributação Brasil Espanha, a Macrohard e os demais revendedores brasileiros entenderam estar</w:t>
      </w:r>
      <w:r>
        <w:t xml:space="preserve"> diante do art. 7 do referido acordo e, portanto, não fizeram retenção de Imposto de Renda.</w:t>
      </w:r>
    </w:p>
    <w:p w:rsidR="00DF322E" w:rsidRDefault="00020D2D">
      <w:pPr>
        <w:pStyle w:val="Corpodetexto"/>
        <w:spacing w:line="276" w:lineRule="auto"/>
        <w:ind w:left="138" w:right="143"/>
        <w:jc w:val="both"/>
      </w:pPr>
      <w:r>
        <w:t>Contudo, todos foram autuados pela Receita Federal do Brasil, cobrando imposto de renda retido na fonte à alíquota de 15%. Entenderam que a retenção deveria ter sid</w:t>
      </w:r>
      <w:r>
        <w:t>o feita, por conta da qualificação correta daqueles pagamentos ser o art. 12.</w:t>
      </w:r>
    </w:p>
    <w:p w:rsidR="00DF322E" w:rsidRDefault="00020D2D">
      <w:pPr>
        <w:pStyle w:val="Corpodetexto"/>
        <w:spacing w:line="276" w:lineRule="auto"/>
        <w:ind w:left="138" w:right="141"/>
        <w:jc w:val="both"/>
      </w:pPr>
      <w:r>
        <w:t>A empresa ficou informada, não só por entender que se trata de rendimento sujeito ao art. 7 do referido tratado, como ainda por lhe parecer que, ainda que se tratasse de royaltie</w:t>
      </w:r>
      <w:r>
        <w:t>s, a alíquota de retenção na fonte correta, seria de</w:t>
      </w:r>
      <w:r>
        <w:rPr>
          <w:spacing w:val="-19"/>
        </w:rPr>
        <w:t xml:space="preserve"> </w:t>
      </w:r>
      <w:r>
        <w:t>10%.</w:t>
      </w:r>
    </w:p>
    <w:p w:rsidR="00DF322E" w:rsidRDefault="00DF322E">
      <w:pPr>
        <w:pStyle w:val="Corpodetexto"/>
        <w:spacing w:before="4"/>
        <w:rPr>
          <w:sz w:val="32"/>
        </w:rPr>
      </w:pPr>
    </w:p>
    <w:p w:rsidR="00DF322E" w:rsidRDefault="00020D2D">
      <w:pPr>
        <w:pStyle w:val="Corpodetexto"/>
        <w:spacing w:line="276" w:lineRule="auto"/>
        <w:ind w:left="138" w:right="141"/>
        <w:jc w:val="both"/>
      </w:pPr>
      <w:r>
        <w:t>A empresa procurou seus advogados, que impugnaram o auto de infração. A impugnação foi julgada improcedente pela Delegacia Regional de Julgamento (DRJ) e a empresa interpôs recurso voluntário ao Co</w:t>
      </w:r>
      <w:r>
        <w:t>nselho Administrativo de Recursos Fiscais (CARF), que manteve integralmente a atuação, não acatando sequer a tese subsidiária,</w:t>
      </w:r>
      <w:r>
        <w:rPr>
          <w:spacing w:val="-2"/>
        </w:rPr>
        <w:t xml:space="preserve"> </w:t>
      </w:r>
      <w:r>
        <w:t>portanto.</w:t>
      </w:r>
    </w:p>
    <w:p w:rsidR="00DF322E" w:rsidRDefault="00DF322E">
      <w:pPr>
        <w:pStyle w:val="Corpodetexto"/>
      </w:pPr>
    </w:p>
    <w:p w:rsidR="00DF322E" w:rsidRDefault="00DF322E">
      <w:pPr>
        <w:pStyle w:val="Corpodetexto"/>
        <w:spacing w:before="4"/>
        <w:rPr>
          <w:sz w:val="36"/>
        </w:rPr>
      </w:pPr>
    </w:p>
    <w:p w:rsidR="00DF322E" w:rsidRDefault="00020D2D">
      <w:pPr>
        <w:pStyle w:val="Corpodetexto"/>
        <w:spacing w:line="276" w:lineRule="auto"/>
        <w:ind w:left="138" w:right="141"/>
        <w:jc w:val="both"/>
      </w:pPr>
      <w:r>
        <w:t>A Macrohard ajuizou uma ação anulatória em face da autuação, que está pendente de</w:t>
      </w:r>
      <w:r>
        <w:rPr>
          <w:spacing w:val="-2"/>
        </w:rPr>
        <w:t xml:space="preserve"> </w:t>
      </w:r>
      <w:r>
        <w:t>julgamento.</w:t>
      </w:r>
    </w:p>
    <w:p w:rsidR="00DF322E" w:rsidRDefault="00DF322E">
      <w:pPr>
        <w:pStyle w:val="Corpodetexto"/>
        <w:spacing w:before="2"/>
        <w:rPr>
          <w:sz w:val="32"/>
        </w:rPr>
      </w:pPr>
    </w:p>
    <w:p w:rsidR="00DF322E" w:rsidRDefault="00020D2D">
      <w:pPr>
        <w:pStyle w:val="Corpodetexto"/>
        <w:spacing w:line="276" w:lineRule="auto"/>
        <w:ind w:left="138" w:right="138"/>
        <w:jc w:val="both"/>
      </w:pPr>
      <w:r>
        <w:t>Como representantes da</w:t>
      </w:r>
      <w:r>
        <w:t xml:space="preserve"> Macrohard, o </w:t>
      </w:r>
      <w:r w:rsidR="000A3853">
        <w:rPr>
          <w:b/>
        </w:rPr>
        <w:t>grupo 06/grupo 12</w:t>
      </w:r>
      <w:r>
        <w:rPr>
          <w:b/>
        </w:rPr>
        <w:t xml:space="preserve"> </w:t>
      </w:r>
      <w:r>
        <w:t>deve defender a improcedência da cobrança de 15% e, subsidiariamente, a cobrança de 10%.</w:t>
      </w:r>
    </w:p>
    <w:p w:rsidR="00DF322E" w:rsidRDefault="00DF322E">
      <w:pPr>
        <w:pStyle w:val="Corpodetexto"/>
        <w:spacing w:before="4"/>
        <w:rPr>
          <w:sz w:val="32"/>
        </w:rPr>
      </w:pPr>
    </w:p>
    <w:p w:rsidR="00DF322E" w:rsidRDefault="00020D2D">
      <w:pPr>
        <w:pStyle w:val="Corpodetexto"/>
        <w:ind w:left="138"/>
        <w:jc w:val="both"/>
        <w:rPr>
          <w:b/>
        </w:rPr>
      </w:pPr>
      <w:r>
        <w:t xml:space="preserve">Como representantes da Fazenda Pública do Estado de São Paulo, o </w:t>
      </w:r>
      <w:r w:rsidR="000A3853">
        <w:rPr>
          <w:b/>
        </w:rPr>
        <w:t xml:space="preserve">grupo 05/grupo </w:t>
      </w:r>
      <w:proofErr w:type="gramStart"/>
      <w:r w:rsidR="000A3853">
        <w:rPr>
          <w:b/>
        </w:rPr>
        <w:t>11</w:t>
      </w:r>
      <w:proofErr w:type="gramEnd"/>
    </w:p>
    <w:p w:rsidR="00DF322E" w:rsidRDefault="00020D2D">
      <w:pPr>
        <w:pStyle w:val="Corpodetexto"/>
        <w:spacing w:before="50"/>
        <w:ind w:left="138"/>
        <w:jc w:val="both"/>
      </w:pPr>
      <w:proofErr w:type="gramStart"/>
      <w:r>
        <w:t>deve</w:t>
      </w:r>
      <w:proofErr w:type="gramEnd"/>
      <w:r>
        <w:t xml:space="preserve"> defender a procedência da cobrança de 15%.</w:t>
      </w:r>
    </w:p>
    <w:sectPr w:rsidR="00DF322E">
      <w:pgSz w:w="12250" w:h="15850"/>
      <w:pgMar w:top="1400" w:right="8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B78FB"/>
    <w:multiLevelType w:val="hybridMultilevel"/>
    <w:tmpl w:val="109EEFF0"/>
    <w:lvl w:ilvl="0" w:tplc="5D9463AE">
      <w:start w:val="1"/>
      <w:numFmt w:val="lowerRoman"/>
      <w:lvlText w:val="(%1)"/>
      <w:lvlJc w:val="left"/>
      <w:pPr>
        <w:ind w:left="846" w:hanging="363"/>
        <w:jc w:val="left"/>
      </w:pPr>
      <w:rPr>
        <w:rFonts w:ascii="Calibri" w:eastAsia="Calibri" w:hAnsi="Calibri" w:cs="Calibri" w:hint="default"/>
        <w:spacing w:val="0"/>
        <w:w w:val="100"/>
        <w:sz w:val="28"/>
        <w:szCs w:val="28"/>
        <w:lang w:val="pt-PT" w:eastAsia="pt-PT" w:bidi="pt-PT"/>
      </w:rPr>
    </w:lvl>
    <w:lvl w:ilvl="1" w:tplc="5EA20A56">
      <w:numFmt w:val="bullet"/>
      <w:lvlText w:val="•"/>
      <w:lvlJc w:val="left"/>
      <w:pPr>
        <w:ind w:left="1764" w:hanging="363"/>
      </w:pPr>
      <w:rPr>
        <w:rFonts w:hint="default"/>
        <w:lang w:val="pt-PT" w:eastAsia="pt-PT" w:bidi="pt-PT"/>
      </w:rPr>
    </w:lvl>
    <w:lvl w:ilvl="2" w:tplc="D438216A">
      <w:numFmt w:val="bullet"/>
      <w:lvlText w:val="•"/>
      <w:lvlJc w:val="left"/>
      <w:pPr>
        <w:ind w:left="2688" w:hanging="363"/>
      </w:pPr>
      <w:rPr>
        <w:rFonts w:hint="default"/>
        <w:lang w:val="pt-PT" w:eastAsia="pt-PT" w:bidi="pt-PT"/>
      </w:rPr>
    </w:lvl>
    <w:lvl w:ilvl="3" w:tplc="39DC19A2">
      <w:numFmt w:val="bullet"/>
      <w:lvlText w:val="•"/>
      <w:lvlJc w:val="left"/>
      <w:pPr>
        <w:ind w:left="3612" w:hanging="363"/>
      </w:pPr>
      <w:rPr>
        <w:rFonts w:hint="default"/>
        <w:lang w:val="pt-PT" w:eastAsia="pt-PT" w:bidi="pt-PT"/>
      </w:rPr>
    </w:lvl>
    <w:lvl w:ilvl="4" w:tplc="D64E208E">
      <w:numFmt w:val="bullet"/>
      <w:lvlText w:val="•"/>
      <w:lvlJc w:val="left"/>
      <w:pPr>
        <w:ind w:left="4536" w:hanging="363"/>
      </w:pPr>
      <w:rPr>
        <w:rFonts w:hint="default"/>
        <w:lang w:val="pt-PT" w:eastAsia="pt-PT" w:bidi="pt-PT"/>
      </w:rPr>
    </w:lvl>
    <w:lvl w:ilvl="5" w:tplc="678AA0DE">
      <w:numFmt w:val="bullet"/>
      <w:lvlText w:val="•"/>
      <w:lvlJc w:val="left"/>
      <w:pPr>
        <w:ind w:left="5461" w:hanging="363"/>
      </w:pPr>
      <w:rPr>
        <w:rFonts w:hint="default"/>
        <w:lang w:val="pt-PT" w:eastAsia="pt-PT" w:bidi="pt-PT"/>
      </w:rPr>
    </w:lvl>
    <w:lvl w:ilvl="6" w:tplc="096E0FD8">
      <w:numFmt w:val="bullet"/>
      <w:lvlText w:val="•"/>
      <w:lvlJc w:val="left"/>
      <w:pPr>
        <w:ind w:left="6385" w:hanging="363"/>
      </w:pPr>
      <w:rPr>
        <w:rFonts w:hint="default"/>
        <w:lang w:val="pt-PT" w:eastAsia="pt-PT" w:bidi="pt-PT"/>
      </w:rPr>
    </w:lvl>
    <w:lvl w:ilvl="7" w:tplc="118696FC">
      <w:numFmt w:val="bullet"/>
      <w:lvlText w:val="•"/>
      <w:lvlJc w:val="left"/>
      <w:pPr>
        <w:ind w:left="7309" w:hanging="363"/>
      </w:pPr>
      <w:rPr>
        <w:rFonts w:hint="default"/>
        <w:lang w:val="pt-PT" w:eastAsia="pt-PT" w:bidi="pt-PT"/>
      </w:rPr>
    </w:lvl>
    <w:lvl w:ilvl="8" w:tplc="C3D07DA4">
      <w:numFmt w:val="bullet"/>
      <w:lvlText w:val="•"/>
      <w:lvlJc w:val="left"/>
      <w:pPr>
        <w:ind w:left="8233" w:hanging="363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F322E"/>
    <w:rsid w:val="00020D2D"/>
    <w:rsid w:val="000A3853"/>
    <w:rsid w:val="00561E70"/>
    <w:rsid w:val="007408D4"/>
    <w:rsid w:val="00D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38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846" w:right="13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MnQgKla_e0uZdaUwPfQWLMgrkmiABT9c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drive/folders/1MnQgKla_e0uZdaUwPfQWLMgrkmiABT9c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abriel.mello@vrbf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rielk@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1418</Words>
  <Characters>7658</Characters>
  <Application>Microsoft Office Word</Application>
  <DocSecurity>0</DocSecurity>
  <Lines>63</Lines>
  <Paragraphs>18</Paragraphs>
  <ScaleCrop>false</ScaleCrop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Paulo Victor</cp:lastModifiedBy>
  <cp:revision>7</cp:revision>
  <dcterms:created xsi:type="dcterms:W3CDTF">2020-10-15T23:24:00Z</dcterms:created>
  <dcterms:modified xsi:type="dcterms:W3CDTF">2020-10-15T23:30:00Z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2020-10-15T00:00:00Z</vt:filetime>
  </property>
</Properties>
</file>