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8B49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CondensedRoman" w:hAnsi="PalatinoCondensedRoman" w:cs="PalatinoCondensedRoman"/>
          <w:sz w:val="24"/>
          <w:szCs w:val="24"/>
        </w:rPr>
      </w:pPr>
      <w:r w:rsidRPr="00290A90">
        <w:rPr>
          <w:rFonts w:ascii="PalatinoCondensedBold" w:hAnsi="PalatinoCondensedBold" w:cs="PalatinoCondensedBold"/>
          <w:b/>
          <w:bCs/>
          <w:sz w:val="24"/>
          <w:szCs w:val="24"/>
        </w:rPr>
        <w:t xml:space="preserve">A Economia Política da Reforma Macroeconômica no Brasil, 1995-2002* - </w:t>
      </w:r>
      <w:r w:rsidRPr="00290A90">
        <w:rPr>
          <w:rFonts w:ascii="PalatinoCondensedRoman" w:hAnsi="PalatinoCondensedRoman" w:cs="PalatinoCondensedRoman"/>
          <w:sz w:val="24"/>
          <w:szCs w:val="24"/>
        </w:rPr>
        <w:t xml:space="preserve">David </w:t>
      </w:r>
      <w:proofErr w:type="spellStart"/>
      <w:r w:rsidRPr="00290A90">
        <w:rPr>
          <w:rFonts w:ascii="PalatinoCondensedRoman" w:hAnsi="PalatinoCondensedRoman" w:cs="PalatinoCondensedRoman"/>
          <w:sz w:val="24"/>
          <w:szCs w:val="24"/>
        </w:rPr>
        <w:t>Samuels</w:t>
      </w:r>
      <w:proofErr w:type="spellEnd"/>
    </w:p>
    <w:p w14:paraId="24CE798A" w14:textId="77777777" w:rsidR="00F01ADB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>
        <w:rPr>
          <w:rFonts w:ascii="PalatinoCondensedRoman" w:hAnsi="PalatinoCondensedRoman" w:cs="PalatinoCondensedRoman"/>
        </w:rPr>
        <w:t xml:space="preserve">DADOS – </w:t>
      </w:r>
      <w:r>
        <w:rPr>
          <w:rFonts w:ascii="PalatinoCondensedItalic" w:hAnsi="PalatinoCondensedItalic" w:cs="PalatinoCondensedItalic"/>
          <w:i/>
          <w:iCs/>
        </w:rPr>
        <w:t>Revista de Ciências Sociais</w:t>
      </w:r>
      <w:r>
        <w:rPr>
          <w:rFonts w:ascii="PalatinoCondensedRoman" w:hAnsi="PalatinoCondensedRoman" w:cs="PalatinoCondensedRoman"/>
        </w:rPr>
        <w:t>, Rio de Janeiro, Vol. 46, n</w:t>
      </w:r>
      <w:r>
        <w:rPr>
          <w:rFonts w:ascii="PalatinoCondensedRoman" w:hAnsi="PalatinoCondensedRoman" w:cs="PalatinoCondensedRoman"/>
          <w:sz w:val="14"/>
          <w:szCs w:val="14"/>
        </w:rPr>
        <w:t xml:space="preserve">o </w:t>
      </w:r>
      <w:r>
        <w:rPr>
          <w:rFonts w:ascii="PalatinoCondensedRoman" w:hAnsi="PalatinoCondensedRoman" w:cs="PalatinoCondensedRoman"/>
        </w:rPr>
        <w:t>4, 2003, pp. 805 a 835.</w:t>
      </w:r>
    </w:p>
    <w:p w14:paraId="20196D17" w14:textId="77777777" w:rsidR="00F01ADB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</w:p>
    <w:p w14:paraId="0A7AC98D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(...)</w:t>
      </w:r>
    </w:p>
    <w:p w14:paraId="2392D08F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As Dívidas dos Estados</w:t>
      </w:r>
    </w:p>
    <w:p w14:paraId="5257C97A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Apesar da descentralização fiscal, a situação financeira dos estados e municípios deteriorou-se ao longo da década de 80 e colaborou para a crise econômica brasileira. À medida que o processo de democratização tomava impulso, os novos governadores e prefeitos eleitos procuraram cumprir suas promessas de campanha e conquistar apoios aumentando as despesas de seus governos. Por exemplo, a folha de salários dos estados e municípios aumentou 77% em relação ao PIB no período de 1985 a 1990 (Werneck, 1992:10). Em 1997, os governos estaduais já acumulavam déficits da ordem de US$ 139 bilhões. Limitações orçamentárias flexíveis estimularam esse comportamento, já que nenhum governador jamais teve de arcar com as conseqüências de realizar despesas deficitárias, pois o governo federal sempre assumia as dívidas dos estados quando recebia pedidos de socorro. Em 1989, o governo federal tomou a si a responsabilidade pelas dívidas dos estados com bancos estrangeiros, mas não conseguiu obrigar os Executivos estaduais a aceitar as condições que poderiam ter evitado mais uma crise da dívida; da mesma forma, em 1993 a União assumiu outros US$ 28 bilhões de débitos estaduais. Os termos dos acordos entre estados e governo federal, por outro lado, geralmente incluíam condições generosas de pagamento, prazos extensos de amortização e taxas de juros abaixo das praticadas no mercado. Mesmo assim, os governos estaduais freqüentemente protelavam os pagamentos, obrigando a União a assumir, na prática, as dívidas deles (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Abrucio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 xml:space="preserve"> e Ferreira Costa, 1998).</w:t>
      </w:r>
    </w:p>
    <w:p w14:paraId="0CD92AC2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Os estados podiam transferir suas dívidas para a União porque a democratização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havia atribuído considerável autonomia aos atores políticos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regionais e também porque os presidentes brasileiros recorriam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com freqüência à influência dos governadores para mobilizar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apoio no Congresso aos projetos de interesse do Executivo (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Abrucio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1998). Além disso, enquanto a inflação persistiu, os déficits orçamentários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gerados em qualquer nível de governo causaram, contraditoriamente,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poucos problemas políticos imediatos, já que os governantes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podiam reduzir o valor real das despesas postergando os desembolsos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para salários e contratos durante um tempo suficiente para que 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inflação produzisse seu efeito erosivo – o chamado “efeito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Tanzi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”.</w:t>
      </w:r>
    </w:p>
    <w:p w14:paraId="024A1B5D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Mas é claro que a expansão da dívida contribuiu para aumentar as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pressões inflacionárias, </w:t>
      </w:r>
      <w:proofErr w:type="gramStart"/>
      <w:r w:rsidRPr="00290A90">
        <w:rPr>
          <w:rFonts w:ascii="Palatino-Roman" w:hAnsi="Palatino-Roman" w:cs="Palatino-Roman"/>
          <w:sz w:val="24"/>
          <w:szCs w:val="24"/>
        </w:rPr>
        <w:t>criando-se portanto</w:t>
      </w:r>
      <w:proofErr w:type="gramEnd"/>
      <w:r w:rsidRPr="00290A90">
        <w:rPr>
          <w:rFonts w:ascii="Palatino-Roman" w:hAnsi="Palatino-Roman" w:cs="Palatino-Roman"/>
          <w:sz w:val="24"/>
          <w:szCs w:val="24"/>
        </w:rPr>
        <w:t xml:space="preserve"> um círculo vicioso.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Embora os economistas advertissem que o descontrole dos gastos públicos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estaduais contribuía decisivamente para as dificuldades do governo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federal de estabilizar a economia no longo prazo (World Bank,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1990;Werneck, 1992; Novaes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eWerlang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 xml:space="preserve">, 1993;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Dillinger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, 1997), de Sarney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 Itamar Franco nenhum presidente empenhou suficiente capital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político para obrigar os governantes estaduais a conter seus gastos 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pagar suas dívidas. Em vez disso, os presidentes quase sempre negociavam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operações de salvamento das dívidas estaduais em troca do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apoio dos governadores aos seus projetos no Legislativo. Em suma, 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autonomia política dos estados, aliada a presidentes relativamente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fracos, impôs obstáculos à solução dos problemas fiscais brasileiros 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impediu o governo federal de promover a estabilidade macroeconômica.</w:t>
      </w:r>
    </w:p>
    <w:p w14:paraId="70086BD1" w14:textId="77777777" w:rsidR="00C97B2F" w:rsidRPr="00290A90" w:rsidRDefault="00C97B2F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0E1D1124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Os Bancos Estaduais</w:t>
      </w:r>
    </w:p>
    <w:p w14:paraId="0C273EF7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Outro fator que muito contribuiu para a irresponsabilidade fiscal 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Executivos regionais foi o comportamento abusivo das instituições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bancárias de propriedade dos estados. Desde 1993, 25 dos 27 estados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brasileiros (inclusive o Distrito Federal) controlavam pelo menos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uma instituição </w:t>
      </w:r>
      <w:r w:rsidRPr="00290A90">
        <w:rPr>
          <w:rFonts w:ascii="Palatino-Roman" w:hAnsi="Palatino-Roman" w:cs="Palatino-Roman"/>
          <w:sz w:val="24"/>
          <w:szCs w:val="24"/>
        </w:rPr>
        <w:lastRenderedPageBreak/>
        <w:t xml:space="preserve">financeira (Novaes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eWerlang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, 1993:16). Esses bancos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contribuíram para o desequilíbrio fiscal dos governos estaduais – e,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por extensão, para o agravamento da situação econômica do país –,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porque os governadores usavam politicamente “seus” bancos, tomando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pesados empréstimos para cobrir despesas deficitárias. No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entanto, dados seus horizontes políticos de curto prazo, eles geralmente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se recusavam a pagar os empréstimos, com o que arruinavam 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saúde financeira dos bancos estatais e contribuíam para a caótica situação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fiscal do país. Entre 1982 e 1993, o Banco Central teve de intervir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em 60 das 97 instituições financeiras estaduais, que estavam à beira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da falência; em 1990, 45,3% dos empréstimos dos bancos estaduais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não estavam sendo pagos, em comparação com cerca de 1,7% 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empréstimos de instituições privadas na mesma situação (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Makler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2000:46). Apesar de muitos observadores perceberem que a autonomia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dos estados para usar e abusar de seus bancos prejudicava 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implantação de medidas de estabilização econômica, até 1995 o governo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federal sistematicamente socorreu bancos estaduais em troca</w:t>
      </w:r>
    </w:p>
    <w:p w14:paraId="58A735A3" w14:textId="77777777" w:rsidR="00C97B2F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de apoio político no Congresso.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</w:p>
    <w:p w14:paraId="21C198FD" w14:textId="77777777" w:rsidR="00C97B2F" w:rsidRPr="00290A90" w:rsidRDefault="00C97B2F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1B16F588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Resumo</w:t>
      </w:r>
    </w:p>
    <w:p w14:paraId="5AD63128" w14:textId="77777777" w:rsidR="00BD63D4" w:rsidRPr="00290A90" w:rsidRDefault="00F01ADB" w:rsidP="00C97B2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Uma característica das relações entre o governo federal e os Executivos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estaduais no período de 1982 a 1994 foi um “federalismo predatório”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(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Abrucio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, 1997). Estados e municípios se aproveitavam da dificuldade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ou da relutância do governo federal em controlar as finanças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dos Executivos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subfederais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. E os ônus desse federalismo predatório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atingiram proporções alarmantes: os gastos públicos e a prática 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governos estaduais de transferir as dívidas decorrentes para a União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contribuíram para a incapacidade de sucessivos presidentes de conter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o déficit fiscal global do país e domar a inflação. Despesas deficitárias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em todas as esferas de governo foram as principais causas da instabilidade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macroeconômica anterior à introdução do Plano Real.</w:t>
      </w:r>
    </w:p>
    <w:p w14:paraId="6628A1B2" w14:textId="77777777" w:rsidR="00C97B2F" w:rsidRPr="00290A90" w:rsidRDefault="00C97B2F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3FD02585" w14:textId="77777777" w:rsidR="00C97B2F" w:rsidRPr="00290A90" w:rsidRDefault="00C97B2F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(...)</w:t>
      </w:r>
    </w:p>
    <w:p w14:paraId="2F3C42D3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As Despesas Estaduais</w:t>
      </w:r>
    </w:p>
    <w:p w14:paraId="35DC5485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Logo depois que o Plano Real entrou em vigor, em1995, a situação financeira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dos Executivos estaduais começou a deteriorar-se, tornando-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os vulneráveis a pressões do governo federal.A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equipe econômica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de Fernando Henrique tirou partido dessa vantagem para renegociar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as dívidas dos estados, arrancar de seus governantes compromissos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concretos com o resgate de suas dívidas e impor novas restrições ao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dispêndio e ao endividamento das futuras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administrações.A“Lei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 xml:space="preserve"> Camata”,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por exemplo, aprovada em 1995, estipulou que a partir de janeiro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de 1999 os estados deveriam limitar suas despesas totais com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pessoal a 60% das receitas correntes líquidas, sob pena de retenção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dos fundos federais. Quando o governo FHC aceitou refinanciar as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dívidas dos estados, em 1997-98, exigiu que eles parassem de emitir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títulos para cobrir suas dívidas até que o montante total dos débitos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representasse menos de um ano da receita tributária. Em junho de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1998, o Conselho Monetário Nacional proibiu ainda os governos estaduais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de contrair novos empréstimos no exterior.</w:t>
      </w:r>
    </w:p>
    <w:p w14:paraId="60A3512D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As restrições impostas pela União funcionaram: quando o Estado de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Minas Gerais suspendeu o pagamento de sua dívida, logo no início de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1999, Fernando Henrique bloqueou os repasses federais e confiscou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recursos dos bancos estaduais para cobrir as parcelas não pagas, 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que fortaleceu a credibilidade do governo federal. Em maio de 2000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foi aprovada a Lei de Responsabilidade Fiscal – LRF, que buscava acabar de uma vez por todas com a visão de que os governos estaduais 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municipais gozam de “restrições orçamentárias flexíveis” (</w:t>
      </w:r>
      <w:r w:rsidRPr="00290A90">
        <w:rPr>
          <w:rFonts w:ascii="Palatino-Italic" w:hAnsi="Palatino-Italic" w:cs="Palatino-Italic"/>
          <w:i/>
          <w:iCs/>
          <w:sz w:val="24"/>
          <w:szCs w:val="24"/>
        </w:rPr>
        <w:t>soft budget</w:t>
      </w:r>
      <w:r w:rsidR="00C97B2F" w:rsidRPr="00290A90"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  <w:proofErr w:type="spellStart"/>
      <w:r w:rsidRPr="00290A90">
        <w:rPr>
          <w:rFonts w:ascii="Palatino-Italic" w:hAnsi="Palatino-Italic" w:cs="Palatino-Italic"/>
          <w:i/>
          <w:iCs/>
          <w:sz w:val="24"/>
          <w:szCs w:val="24"/>
        </w:rPr>
        <w:t>constraints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). A LRF determinou limites rígidos de endividamento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para todos os níveis de governo e proibiu expressamente a União de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 xml:space="preserve">refinanciar futuras dívidas de Executivos 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lastRenderedPageBreak/>
        <w:t>subfederais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>. A Lei procurou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ainda aumentar a “transparência da gestão fiscal” ao exigir que 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governos estaduais e municipais publiquem uma prestação de contas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de receitas e despesas, e estabelecer punições às autoridades públicas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que violem a Lei1. A LRF foi uma das estratégias do governo Fernando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Henrique Cardoso para controlar os gastos dos Executivos regionais: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embora de 1994 a 1998 as administrações locais e estaduais tenham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operado todos os anos com déficits primários, de 1999 em diante,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de modo geral, elas acumularam superávits orçamentários2.</w:t>
      </w:r>
    </w:p>
    <w:p w14:paraId="746E0389" w14:textId="77777777" w:rsidR="00C97B2F" w:rsidRPr="00290A90" w:rsidRDefault="00C97B2F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3B8A96F5" w14:textId="77777777" w:rsidR="00F01ADB" w:rsidRPr="00290A90" w:rsidRDefault="00F01ADB" w:rsidP="00F01AD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290A90">
        <w:rPr>
          <w:rFonts w:ascii="Palatino-Bold" w:hAnsi="Palatino-Bold" w:cs="Palatino-Bold"/>
          <w:b/>
          <w:bCs/>
          <w:sz w:val="24"/>
          <w:szCs w:val="24"/>
        </w:rPr>
        <w:t>Os Bancos Estaduais</w:t>
      </w:r>
    </w:p>
    <w:p w14:paraId="4ECDF5F7" w14:textId="77777777" w:rsidR="00F01ADB" w:rsidRPr="00290A90" w:rsidRDefault="00F01ADB" w:rsidP="00C97B2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governo Fernando Henrique Cardoso também estabeleceu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um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controle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mais rigoroso sobre os bancos estaduais. Desde fins de 1994,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quando interveio nos bancos dos estados do Rio de Janeiro e de São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Paulo, o governo federal sinalizou que não iria mais salvar bancos falidos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sem levar nada em troca. Apesar da rejeição do Congresso à proposta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inicial do presidente para resolver a crise dos bancos estaduais,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que obrigou o governo a pagar um preço muito maior por uma solução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do problema, a administração de Fernando Henrique Cardoso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conseguiu por fim intervir e organizar a privatização de quase todos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esses bancos, impedindo com isso um possível reaparecimento do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problema. Para compensar os governadores pela perda do controle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sobre os bancos estaduais, a União refinanciou as dívidas dos estados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com seus bancos, os quais também foram transferidos para o governo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federal em condições favoráveis (</w:t>
      </w:r>
      <w:proofErr w:type="spellStart"/>
      <w:r w:rsidRPr="00290A90">
        <w:rPr>
          <w:rFonts w:ascii="Palatino-Roman" w:hAnsi="Palatino-Roman" w:cs="Palatino-Roman"/>
          <w:sz w:val="24"/>
          <w:szCs w:val="24"/>
        </w:rPr>
        <w:t>Garman</w:t>
      </w:r>
      <w:proofErr w:type="spellEnd"/>
      <w:r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Italic" w:hAnsi="Palatino-Italic" w:cs="Palatino-Italic"/>
          <w:i/>
          <w:iCs/>
          <w:sz w:val="24"/>
          <w:szCs w:val="24"/>
        </w:rPr>
        <w:t>et alii</w:t>
      </w:r>
      <w:r w:rsidRPr="00290A90">
        <w:rPr>
          <w:rFonts w:ascii="Palatino-Roman" w:hAnsi="Palatino-Roman" w:cs="Palatino-Roman"/>
          <w:sz w:val="24"/>
          <w:szCs w:val="24"/>
        </w:rPr>
        <w:t>, 2000). Em conseqüência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dessas mudanças, os governos estaduais não podem mais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usar as instituições bancárias estatais como fontes ilimitadas de empréstimos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para cobrir gastos deficitários, e os bancos não podem mais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enfraquecer o controle do Banco Central sobre a política monetária</w:t>
      </w:r>
      <w:r w:rsidR="00C97B2F" w:rsidRPr="00290A90">
        <w:rPr>
          <w:rFonts w:ascii="Palatino-Roman" w:hAnsi="Palatino-Roman" w:cs="Palatino-Roman"/>
          <w:sz w:val="24"/>
          <w:szCs w:val="24"/>
        </w:rPr>
        <w:t xml:space="preserve"> </w:t>
      </w:r>
      <w:r w:rsidRPr="00290A90">
        <w:rPr>
          <w:rFonts w:ascii="Palatino-Roman" w:hAnsi="Palatino-Roman" w:cs="Palatino-Roman"/>
          <w:sz w:val="24"/>
          <w:szCs w:val="24"/>
        </w:rPr>
        <w:t>nacional.</w:t>
      </w:r>
    </w:p>
    <w:p w14:paraId="4E61F114" w14:textId="77777777" w:rsidR="00C97B2F" w:rsidRPr="00290A90" w:rsidRDefault="00290A90" w:rsidP="00C97B2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290A90">
        <w:rPr>
          <w:rFonts w:ascii="Palatino-Roman" w:hAnsi="Palatino-Roman" w:cs="Palatino-Roman"/>
          <w:sz w:val="24"/>
          <w:szCs w:val="24"/>
        </w:rPr>
        <w:t>(...)</w:t>
      </w:r>
    </w:p>
    <w:p w14:paraId="1E6A58C5" w14:textId="77777777" w:rsidR="004A1973" w:rsidRPr="00290A90" w:rsidRDefault="004A1973" w:rsidP="00C97B2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sectPr w:rsidR="004A1973" w:rsidRPr="00290A90" w:rsidSect="00290A9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Condensed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Condensed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Condensed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DB"/>
    <w:rsid w:val="001433B4"/>
    <w:rsid w:val="001F7B3D"/>
    <w:rsid w:val="00290A90"/>
    <w:rsid w:val="004A1973"/>
    <w:rsid w:val="00BD63D4"/>
    <w:rsid w:val="00C97B2F"/>
    <w:rsid w:val="00DB5881"/>
    <w:rsid w:val="00F0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A7EF"/>
  <w15:docId w15:val="{95928FD0-C6E2-435A-8C1A-382452C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Pires</cp:lastModifiedBy>
  <cp:revision>2</cp:revision>
  <cp:lastPrinted>2010-11-07T18:56:00Z</cp:lastPrinted>
  <dcterms:created xsi:type="dcterms:W3CDTF">2020-10-02T13:17:00Z</dcterms:created>
  <dcterms:modified xsi:type="dcterms:W3CDTF">2020-10-02T13:17:00Z</dcterms:modified>
</cp:coreProperties>
</file>