
<file path=[Content_Types].xml><?xml version="1.0" encoding="utf-8"?>
<Types xmlns="http://schemas.openxmlformats.org/package/2006/content-types">
  <Default Extension="xml" ContentType="application/xml"/>
  <Default Extension="png" ContentType="image/png"/>
  <Default Extension="gif" ContentType="image/gi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Arial" w:hAnsi="Arial" w:cs="Arial"/>
          <w:b/>
          <w:color w:val="FF0000"/>
          <w:sz w:val="22"/>
          <w:szCs w:val="22"/>
          <w:highlight w:val="yellow"/>
          <w:lang w:val="pt-BR"/>
        </w:rPr>
      </w:pPr>
      <w:r>
        <w:rPr>
          <w:rFonts w:ascii="Arial" w:hAnsi="Arial" w:cs="Arial"/>
          <w:color w:val="FF0000"/>
          <w:sz w:val="22"/>
          <w:szCs w:val="22"/>
          <w:lang w:val="pt-BR"/>
        </w:rPr>
        <w:t>Aula: Análise térmica dos materiais</w:t>
      </w:r>
      <w:r>
        <w:rPr>
          <w:rFonts w:hint="default" w:ascii="Arial" w:hAnsi="Arial" w:cs="Arial"/>
          <w:color w:val="FF0000"/>
          <w:sz w:val="22"/>
          <w:szCs w:val="22"/>
          <w:lang w:val="pt-BR"/>
        </w:rPr>
        <w:t xml:space="preserve"> - </w:t>
      </w:r>
      <w:r>
        <w:rPr>
          <w:rFonts w:ascii="Arial" w:hAnsi="Arial" w:cs="Arial"/>
          <w:b/>
          <w:color w:val="FF0000"/>
          <w:sz w:val="22"/>
          <w:szCs w:val="22"/>
          <w:highlight w:val="yellow"/>
          <w:lang w:val="pt-BR"/>
        </w:rPr>
        <w:t>Parte 3: DMA (análise dinâmico-mecânica)</w:t>
      </w:r>
    </w:p>
    <w:p>
      <w:pPr>
        <w:autoSpaceDE w:val="0"/>
        <w:autoSpaceDN w:val="0"/>
        <w:adjustRightInd w:val="0"/>
        <w:jc w:val="both"/>
        <w:rPr>
          <w:rFonts w:ascii="Arial" w:hAnsi="Arial" w:cs="Arial" w:eastAsiaTheme="minorHAnsi"/>
          <w:i/>
          <w:sz w:val="22"/>
          <w:szCs w:val="22"/>
          <w:lang w:eastAsia="en-US"/>
        </w:rPr>
      </w:pPr>
      <w:r>
        <w:rPr>
          <w:rFonts w:ascii="Arial" w:hAnsi="Arial" w:cs="Arial" w:eastAsiaTheme="minorHAnsi"/>
          <w:i/>
          <w:sz w:val="22"/>
          <w:szCs w:val="22"/>
          <w:lang w:eastAsia="en-US"/>
        </w:rPr>
        <w:t>&gt;&gt;&gt;DMA measures stiffness and damping (modulus and tan delta). Because we are applying a sinusoidal force, we can express the modulus as an in-phase component, the storage modulus, and an out of phase component, the loss modulus.  The storage modulus, either E’ or G’, is the measure of the sample’s elastic behavior. The ratio of the loss to the storage is the tan delta and is often called damping. It is a measure of the energy dissipation of a material.</w:t>
      </w:r>
    </w:p>
    <w:p>
      <w:pPr>
        <w:autoSpaceDE w:val="0"/>
        <w:autoSpaceDN w:val="0"/>
        <w:adjustRightInd w:val="0"/>
        <w:jc w:val="both"/>
        <w:rPr>
          <w:rFonts w:ascii="Arial" w:hAnsi="Arial" w:cs="Arial" w:eastAsiaTheme="minorHAnsi"/>
          <w:i/>
          <w:sz w:val="22"/>
          <w:szCs w:val="22"/>
          <w:lang w:eastAsia="en-US"/>
        </w:rPr>
      </w:pPr>
    </w:p>
    <w:p>
      <w:pPr>
        <w:autoSpaceDE w:val="0"/>
        <w:autoSpaceDN w:val="0"/>
        <w:adjustRightInd w:val="0"/>
        <w:jc w:val="both"/>
        <w:rPr>
          <w:rFonts w:ascii="Arial" w:hAnsi="Arial" w:cs="Arial" w:eastAsiaTheme="minorHAnsi"/>
          <w:i/>
          <w:sz w:val="22"/>
          <w:szCs w:val="22"/>
          <w:lang w:eastAsia="en-US"/>
        </w:rPr>
      </w:pPr>
      <w:r>
        <w:rPr>
          <w:rFonts w:ascii="Arial" w:hAnsi="Arial" w:cs="Arial" w:eastAsiaTheme="minorHAnsi"/>
          <w:i/>
          <w:sz w:val="22"/>
          <w:szCs w:val="22"/>
          <w:lang w:eastAsia="en-US"/>
        </w:rPr>
        <w:t>While Young’s modulus, which is calculated from the slope of the initial part of a stress-strain curve, is similar conceptually to the storage modulus, they are not the same. Just as shear, bulk and compressive moduli for a material will differ, Young’s modulus will not have the same value as the storage modulus.</w:t>
      </w:r>
    </w:p>
    <w:p>
      <w:pPr>
        <w:autoSpaceDE w:val="0"/>
        <w:autoSpaceDN w:val="0"/>
        <w:adjustRightInd w:val="0"/>
        <w:jc w:val="both"/>
        <w:rPr>
          <w:rFonts w:ascii="Arial" w:hAnsi="Arial" w:cs="Arial" w:eastAsiaTheme="minorHAnsi"/>
          <w:i/>
          <w:sz w:val="22"/>
          <w:szCs w:val="22"/>
          <w:lang w:eastAsia="en-US"/>
        </w:rPr>
      </w:pPr>
    </w:p>
    <w:p>
      <w:pPr>
        <w:autoSpaceDE w:val="0"/>
        <w:autoSpaceDN w:val="0"/>
        <w:adjustRightInd w:val="0"/>
        <w:jc w:val="both"/>
        <w:rPr>
          <w:rFonts w:ascii="Arial" w:hAnsi="Arial" w:cs="Arial" w:eastAsiaTheme="minorHAnsi"/>
          <w:i/>
          <w:sz w:val="22"/>
          <w:szCs w:val="22"/>
          <w:lang w:eastAsia="en-US"/>
        </w:rPr>
      </w:pPr>
      <w:r>
        <w:rPr>
          <w:rFonts w:ascii="Arial" w:hAnsi="Arial" w:cs="Arial" w:eastAsiaTheme="minorHAnsi"/>
          <w:i/>
          <w:sz w:val="22"/>
          <w:szCs w:val="22"/>
          <w:lang w:eastAsia="en-US"/>
        </w:rPr>
        <w:t>Damping is the dissipation of energy in a material under cyclic load. It is a measure of how well a material can get rid of energy and is reported as the tangent of the phase angle. It tells us how good a material will be at absorbing energy. It varies with the state of the material, its temperature, and with the frequency.&lt;&lt;&lt;</w:t>
      </w:r>
    </w:p>
    <w:p>
      <w:pPr>
        <w:autoSpaceDE w:val="0"/>
        <w:autoSpaceDN w:val="0"/>
        <w:adjustRightInd w:val="0"/>
        <w:jc w:val="both"/>
        <w:rPr>
          <w:rFonts w:ascii="Arial" w:hAnsi="Arial" w:cs="Arial" w:eastAsiaTheme="minorHAnsi"/>
          <w:i/>
          <w:sz w:val="22"/>
          <w:szCs w:val="22"/>
          <w:lang w:eastAsia="en-US"/>
        </w:rPr>
      </w:pPr>
    </w:p>
    <w:p>
      <w:pPr>
        <w:autoSpaceDE w:val="0"/>
        <w:autoSpaceDN w:val="0"/>
        <w:adjustRightInd w:val="0"/>
        <w:jc w:val="both"/>
        <w:rPr>
          <w:rFonts w:ascii="Arial" w:hAnsi="Arial" w:cs="Arial" w:eastAsiaTheme="minorHAnsi"/>
          <w:i/>
          <w:sz w:val="20"/>
          <w:szCs w:val="20"/>
          <w:lang w:eastAsia="en-US"/>
        </w:rPr>
      </w:pPr>
      <w:r>
        <w:rPr>
          <w:rFonts w:ascii="Arial" w:hAnsi="Arial" w:cs="Arial" w:eastAsiaTheme="minorHAnsi"/>
          <w:i/>
          <w:sz w:val="20"/>
          <w:szCs w:val="20"/>
          <w:lang w:eastAsia="en-US"/>
        </w:rPr>
        <w:t>http://www.metrotec.es/metrotec/WWW_DOC/GDE_IntroductionToDMA-1-CAT-E-R1.pdf (Perkin Elmer)</w:t>
      </w:r>
    </w:p>
    <w:p>
      <w:pPr>
        <w:autoSpaceDE w:val="0"/>
        <w:autoSpaceDN w:val="0"/>
        <w:adjustRightInd w:val="0"/>
        <w:jc w:val="both"/>
        <w:rPr>
          <w:rFonts w:ascii="Arial" w:hAnsi="Arial" w:cs="Arial" w:eastAsiaTheme="minorHAnsi"/>
          <w:i/>
          <w:sz w:val="20"/>
          <w:szCs w:val="20"/>
          <w:lang w:eastAsia="en-US"/>
        </w:rPr>
      </w:pPr>
    </w:p>
    <w:p>
      <w:pPr>
        <w:autoSpaceDE w:val="0"/>
        <w:autoSpaceDN w:val="0"/>
        <w:adjustRightInd w:val="0"/>
        <w:jc w:val="center"/>
        <w:rPr>
          <w:rFonts w:ascii="Arial" w:hAnsi="Arial" w:cs="Arial" w:eastAsiaTheme="minorHAnsi"/>
          <w:sz w:val="22"/>
          <w:szCs w:val="22"/>
          <w:lang w:eastAsia="en-US"/>
        </w:rPr>
      </w:pPr>
      <w:r>
        <w:rPr>
          <w:rFonts w:ascii="Arial" w:hAnsi="Arial" w:cs="Arial" w:eastAsiaTheme="minorHAnsi"/>
          <w:sz w:val="22"/>
          <w:szCs w:val="22"/>
          <w:highlight w:val="yellow"/>
          <w:lang w:eastAsia="en-US"/>
        </w:rPr>
        <w:t>&gt;&gt;&gt;The material may be:</w:t>
      </w:r>
    </w:p>
    <w:p>
      <w:pPr>
        <w:autoSpaceDE w:val="0"/>
        <w:autoSpaceDN w:val="0"/>
        <w:adjustRightInd w:val="0"/>
        <w:jc w:val="center"/>
        <w:rPr>
          <w:rFonts w:ascii="Arial" w:hAnsi="Arial" w:cs="Arial" w:eastAsiaTheme="minorHAnsi"/>
          <w:sz w:val="22"/>
          <w:szCs w:val="22"/>
          <w:lang w:eastAsia="en-US"/>
        </w:rPr>
      </w:pPr>
      <w:r>
        <w:rPr>
          <w:rFonts w:ascii="Arial" w:hAnsi="Arial" w:cs="Arial" w:eastAsiaTheme="minorHAnsi"/>
          <w:sz w:val="22"/>
          <w:szCs w:val="22"/>
          <w:lang w:eastAsia="en-US"/>
        </w:rPr>
        <w:t>- A thermoplastic, a thermoset, or an elastomeric polymer.</w:t>
      </w:r>
    </w:p>
    <w:p>
      <w:pPr>
        <w:autoSpaceDE w:val="0"/>
        <w:autoSpaceDN w:val="0"/>
        <w:adjustRightInd w:val="0"/>
        <w:jc w:val="center"/>
        <w:rPr>
          <w:rFonts w:ascii="Arial" w:hAnsi="Arial" w:cs="Arial" w:eastAsiaTheme="minorHAnsi"/>
          <w:sz w:val="22"/>
          <w:szCs w:val="22"/>
          <w:lang w:eastAsia="en-US"/>
        </w:rPr>
      </w:pPr>
      <w:r>
        <w:rPr>
          <w:rFonts w:ascii="Arial" w:hAnsi="Arial" w:cs="Arial" w:eastAsiaTheme="minorHAnsi"/>
          <w:sz w:val="22"/>
          <w:szCs w:val="22"/>
          <w:lang w:eastAsia="en-US"/>
        </w:rPr>
        <w:t>- A polymer blend or "alloy";</w:t>
      </w:r>
    </w:p>
    <w:p>
      <w:pPr>
        <w:autoSpaceDE w:val="0"/>
        <w:autoSpaceDN w:val="0"/>
        <w:adjustRightInd w:val="0"/>
        <w:jc w:val="center"/>
        <w:rPr>
          <w:rFonts w:ascii="Arial" w:hAnsi="Arial" w:cs="Arial" w:eastAsiaTheme="minorHAnsi"/>
          <w:sz w:val="22"/>
          <w:szCs w:val="22"/>
          <w:lang w:eastAsia="en-US"/>
        </w:rPr>
      </w:pPr>
      <w:r>
        <w:rPr>
          <w:rFonts w:ascii="Arial" w:hAnsi="Arial" w:cs="Arial" w:eastAsiaTheme="minorHAnsi"/>
          <w:sz w:val="22"/>
          <w:szCs w:val="22"/>
          <w:lang w:eastAsia="en-US"/>
        </w:rPr>
        <w:t>- A liquid, a melt, or a solid;</w:t>
      </w:r>
    </w:p>
    <w:p>
      <w:pPr>
        <w:autoSpaceDE w:val="0"/>
        <w:autoSpaceDN w:val="0"/>
        <w:adjustRightInd w:val="0"/>
        <w:jc w:val="center"/>
        <w:rPr>
          <w:rFonts w:ascii="Arial" w:hAnsi="Arial" w:cs="Arial" w:eastAsiaTheme="minorHAnsi"/>
          <w:sz w:val="22"/>
          <w:szCs w:val="22"/>
          <w:lang w:eastAsia="en-US"/>
        </w:rPr>
      </w:pPr>
      <w:r>
        <w:rPr>
          <w:rFonts w:ascii="Arial" w:hAnsi="Arial" w:cs="Arial" w:eastAsiaTheme="minorHAnsi"/>
          <w:sz w:val="22"/>
          <w:szCs w:val="22"/>
          <w:lang w:eastAsia="en-US"/>
        </w:rPr>
        <w:t>- A soft solid such as cheese or toothpaste;</w:t>
      </w:r>
    </w:p>
    <w:p>
      <w:pPr>
        <w:autoSpaceDE w:val="0"/>
        <w:autoSpaceDN w:val="0"/>
        <w:adjustRightInd w:val="0"/>
        <w:jc w:val="center"/>
        <w:rPr>
          <w:rFonts w:ascii="Arial" w:hAnsi="Arial" w:cs="Arial" w:eastAsiaTheme="minorHAnsi"/>
          <w:sz w:val="22"/>
          <w:szCs w:val="22"/>
          <w:lang w:eastAsia="en-US"/>
        </w:rPr>
      </w:pPr>
      <w:r>
        <w:rPr>
          <w:rFonts w:ascii="Arial" w:hAnsi="Arial" w:cs="Arial" w:eastAsiaTheme="minorHAnsi"/>
          <w:sz w:val="22"/>
          <w:szCs w:val="22"/>
          <w:lang w:eastAsia="en-US"/>
        </w:rPr>
        <w:t>- A foam, wet or dry, soft or rigid;</w:t>
      </w:r>
    </w:p>
    <w:p>
      <w:pPr>
        <w:autoSpaceDE w:val="0"/>
        <w:autoSpaceDN w:val="0"/>
        <w:adjustRightInd w:val="0"/>
        <w:jc w:val="center"/>
        <w:rPr>
          <w:rFonts w:ascii="Arial" w:hAnsi="Arial" w:cs="Arial" w:eastAsiaTheme="minorHAnsi"/>
          <w:sz w:val="22"/>
          <w:szCs w:val="22"/>
          <w:lang w:eastAsia="en-US"/>
        </w:rPr>
      </w:pPr>
      <w:r>
        <w:rPr>
          <w:rFonts w:ascii="Arial" w:hAnsi="Arial" w:cs="Arial" w:eastAsiaTheme="minorHAnsi"/>
          <w:sz w:val="22"/>
          <w:szCs w:val="22"/>
          <w:lang w:eastAsia="en-US"/>
        </w:rPr>
        <w:t>- A dispersion, emulsion, or solution;</w:t>
      </w:r>
    </w:p>
    <w:p>
      <w:pPr>
        <w:autoSpaceDE w:val="0"/>
        <w:autoSpaceDN w:val="0"/>
        <w:adjustRightInd w:val="0"/>
        <w:jc w:val="center"/>
        <w:rPr>
          <w:rFonts w:ascii="Arial" w:hAnsi="Arial" w:cs="Arial" w:eastAsiaTheme="minorHAnsi"/>
          <w:sz w:val="22"/>
          <w:szCs w:val="22"/>
          <w:lang w:eastAsia="en-US"/>
        </w:rPr>
      </w:pPr>
      <w:r>
        <w:rPr>
          <w:rFonts w:ascii="Arial" w:hAnsi="Arial" w:cs="Arial" w:eastAsiaTheme="minorHAnsi"/>
          <w:sz w:val="22"/>
          <w:szCs w:val="22"/>
          <w:lang w:eastAsia="en-US"/>
        </w:rPr>
        <w:t>- "Neat" or with extenders, fillers, pigments, plasticizers, or fibers.</w:t>
      </w:r>
    </w:p>
    <w:p>
      <w:pPr>
        <w:autoSpaceDE w:val="0"/>
        <w:autoSpaceDN w:val="0"/>
        <w:adjustRightInd w:val="0"/>
        <w:jc w:val="center"/>
        <w:rPr>
          <w:rFonts w:ascii="Arial" w:hAnsi="Arial" w:cs="Arial" w:eastAsiaTheme="minorHAnsi"/>
          <w:sz w:val="22"/>
          <w:szCs w:val="22"/>
          <w:lang w:eastAsia="en-US"/>
        </w:rPr>
      </w:pPr>
      <w:r>
        <w:rPr>
          <w:rFonts w:ascii="Arial" w:hAnsi="Arial" w:cs="Arial" w:eastAsiaTheme="minorHAnsi"/>
          <w:sz w:val="22"/>
          <w:szCs w:val="22"/>
          <w:lang w:eastAsia="en-US"/>
        </w:rPr>
        <w:t>Usually, testing is nondestructive and only small samples are needed, an advantage for testing experimental materials.&lt;&lt;&lt;&lt;</w:t>
      </w:r>
    </w:p>
    <w:p>
      <w:pPr>
        <w:autoSpaceDE w:val="0"/>
        <w:autoSpaceDN w:val="0"/>
        <w:adjustRightInd w:val="0"/>
        <w:jc w:val="center"/>
        <w:rPr>
          <w:rFonts w:ascii="Arial" w:hAnsi="Arial" w:cs="Arial" w:eastAsiaTheme="minorHAnsi"/>
          <w:sz w:val="22"/>
          <w:szCs w:val="22"/>
          <w:lang w:eastAsia="en-US"/>
        </w:rPr>
      </w:pPr>
    </w:p>
    <w:p>
      <w:pPr>
        <w:autoSpaceDE w:val="0"/>
        <w:autoSpaceDN w:val="0"/>
        <w:adjustRightInd w:val="0"/>
        <w:jc w:val="both"/>
        <w:rPr>
          <w:rFonts w:ascii="Arial" w:hAnsi="Arial" w:cs="Arial" w:eastAsiaTheme="minorHAnsi"/>
          <w:i/>
          <w:sz w:val="20"/>
          <w:szCs w:val="20"/>
          <w:lang w:eastAsia="en-US"/>
        </w:rPr>
      </w:pPr>
      <w:r>
        <w:rPr>
          <w:rStyle w:val="10"/>
          <w:rFonts w:ascii="Arial" w:hAnsi="Arial" w:cs="Arial"/>
          <w:color w:val="000000"/>
          <w:sz w:val="20"/>
          <w:szCs w:val="20"/>
        </w:rPr>
        <w:t>(www.sealseastern.com/PDF/DynamicMechThermalAnal.pdf)</w:t>
      </w:r>
    </w:p>
    <w:p>
      <w:pPr>
        <w:autoSpaceDE w:val="0"/>
        <w:autoSpaceDN w:val="0"/>
        <w:adjustRightInd w:val="0"/>
        <w:spacing w:line="360" w:lineRule="auto"/>
        <w:ind w:firstLine="708"/>
        <w:jc w:val="both"/>
        <w:rPr>
          <w:rFonts w:ascii="Arial" w:hAnsi="Arial" w:cs="Arial" w:eastAsiaTheme="minorHAnsi"/>
          <w:color w:val="000000"/>
          <w:sz w:val="22"/>
          <w:szCs w:val="22"/>
          <w:lang w:val="pt-BR" w:eastAsia="en-US"/>
        </w:rPr>
      </w:pPr>
    </w:p>
    <w:p>
      <w:pPr>
        <w:autoSpaceDE w:val="0"/>
        <w:autoSpaceDN w:val="0"/>
        <w:adjustRightInd w:val="0"/>
        <w:spacing w:line="360" w:lineRule="auto"/>
        <w:ind w:firstLine="708"/>
        <w:jc w:val="both"/>
        <w:rPr>
          <w:rFonts w:ascii="Arial" w:hAnsi="Arial" w:cs="Arial" w:eastAsiaTheme="minorHAnsi"/>
          <w:color w:val="000000"/>
          <w:sz w:val="22"/>
          <w:szCs w:val="22"/>
          <w:lang w:val="pt-BR" w:eastAsia="en-US"/>
        </w:rPr>
      </w:pPr>
      <w:r>
        <w:rPr>
          <w:rFonts w:ascii="Arial" w:hAnsi="Arial" w:cs="Arial" w:eastAsiaTheme="minorHAnsi"/>
          <w:color w:val="000000"/>
          <w:sz w:val="22"/>
          <w:szCs w:val="22"/>
          <w:lang w:val="pt-BR" w:eastAsia="en-US"/>
        </w:rPr>
        <w:t xml:space="preserve">DMA fornece informações sobre o comportamento termo-mecânico de um material quando em presença de forças dinâmicas. </w:t>
      </w:r>
    </w:p>
    <w:p>
      <w:pPr>
        <w:spacing w:line="360" w:lineRule="auto"/>
        <w:ind w:firstLine="708"/>
        <w:jc w:val="both"/>
        <w:rPr>
          <w:rFonts w:ascii="Arial" w:hAnsi="Arial" w:cs="Arial" w:eastAsiaTheme="minorHAnsi"/>
          <w:color w:val="000000"/>
          <w:sz w:val="22"/>
          <w:szCs w:val="22"/>
          <w:lang w:val="pt-BR" w:eastAsia="en-US"/>
        </w:rPr>
      </w:pPr>
      <w:r>
        <w:rPr>
          <w:rFonts w:ascii="Arial" w:hAnsi="Arial" w:cs="Arial" w:eastAsiaTheme="minorHAnsi"/>
          <w:color w:val="FF0000"/>
          <w:sz w:val="22"/>
          <w:szCs w:val="22"/>
          <w:lang w:val="pt-BR" w:eastAsia="en-US"/>
        </w:rPr>
        <w:t>Estudos sobre</w:t>
      </w:r>
      <w:r>
        <w:rPr>
          <w:rFonts w:ascii="Arial" w:hAnsi="Arial" w:cs="Arial" w:eastAsiaTheme="minorHAnsi"/>
          <w:color w:val="000000"/>
          <w:sz w:val="22"/>
          <w:szCs w:val="22"/>
          <w:lang w:val="pt-BR" w:eastAsia="en-US"/>
        </w:rPr>
        <w:t xml:space="preserve">: propriedades visco-elásticas, endurecimento e amolecimento de </w:t>
      </w:r>
      <w:r>
        <w:rPr>
          <w:rFonts w:hint="default" w:ascii="Arial" w:hAnsi="Arial" w:cs="Arial" w:eastAsiaTheme="minorHAnsi"/>
          <w:color w:val="000000"/>
          <w:sz w:val="22"/>
          <w:szCs w:val="22"/>
          <w:lang w:val="pt-BR" w:eastAsia="en-US"/>
        </w:rPr>
        <w:t>cadeias</w:t>
      </w:r>
      <w:r>
        <w:rPr>
          <w:rFonts w:ascii="Arial" w:hAnsi="Arial" w:cs="Arial" w:eastAsiaTheme="minorHAnsi"/>
          <w:color w:val="000000"/>
          <w:sz w:val="22"/>
          <w:szCs w:val="22"/>
          <w:lang w:val="pt-BR" w:eastAsia="en-US"/>
        </w:rPr>
        <w:t>, transições vítreas, transições de segunda ordem e caracterização de ligações cruzadas em cadeias.</w:t>
      </w:r>
    </w:p>
    <w:p>
      <w:pPr>
        <w:spacing w:after="200" w:line="276" w:lineRule="auto"/>
        <w:rPr>
          <w:rFonts w:ascii="Arial" w:hAnsi="Arial" w:cs="Arial"/>
          <w:color w:val="000000"/>
          <w:sz w:val="22"/>
          <w:szCs w:val="22"/>
          <w:highlight w:val="yellow"/>
          <w:lang w:val="pt-BR"/>
        </w:rPr>
      </w:pPr>
      <w:r>
        <w:rPr>
          <w:rFonts w:ascii="Arial" w:hAnsi="Arial" w:cs="Arial"/>
          <w:color w:val="000000"/>
          <w:sz w:val="22"/>
          <w:szCs w:val="22"/>
          <w:highlight w:val="yellow"/>
          <w:lang w:val="pt-BR"/>
        </w:rPr>
        <w:t xml:space="preserve">Alguns modos de operação da técnica: </w:t>
      </w:r>
    </w:p>
    <w:p>
      <w:pPr>
        <w:pStyle w:val="6"/>
        <w:spacing w:line="360" w:lineRule="auto"/>
        <w:jc w:val="both"/>
        <w:rPr>
          <w:rFonts w:ascii="Arial" w:hAnsi="Arial" w:cs="Arial"/>
          <w:color w:val="FF0000"/>
          <w:sz w:val="22"/>
          <w:szCs w:val="22"/>
        </w:rPr>
      </w:pPr>
      <w:r>
        <w:rPr>
          <w:rFonts w:ascii="Arial" w:hAnsi="Arial" w:cs="Arial"/>
          <w:color w:val="FF0000"/>
          <w:sz w:val="22"/>
          <w:szCs w:val="22"/>
        </w:rPr>
        <w:t xml:space="preserve">a) Flexão de três pontos </w:t>
      </w:r>
    </w:p>
    <w:p>
      <w:pPr>
        <w:spacing w:line="360" w:lineRule="auto"/>
        <w:jc w:val="both"/>
        <w:rPr>
          <w:rFonts w:ascii="Arial" w:hAnsi="Arial" w:cs="Arial"/>
          <w:color w:val="000000"/>
          <w:sz w:val="22"/>
          <w:szCs w:val="22"/>
          <w:lang w:val="pt-BR"/>
        </w:rPr>
      </w:pPr>
      <w:r>
        <w:rPr>
          <w:rFonts w:ascii="Arial" w:hAnsi="Arial" w:cs="Arial"/>
          <w:color w:val="000000"/>
          <w:sz w:val="22"/>
          <w:szCs w:val="22"/>
          <w:lang w:val="pt-BR"/>
        </w:rPr>
        <w:t xml:space="preserve">Amostra é colocada sobre duas extremidades e uma força de cima para baixo é aplicada em um terceiro ponto central desta amostra. O espaçamento entre os dois pontos extremos deve estar em acordo com as normas técnicas (ASTM). </w:t>
      </w:r>
    </w:p>
    <w:p>
      <w:pPr>
        <w:spacing w:line="360" w:lineRule="auto"/>
        <w:jc w:val="both"/>
        <w:rPr>
          <w:rFonts w:ascii="Arial" w:hAnsi="Arial" w:cs="Arial"/>
          <w:color w:val="000000"/>
          <w:sz w:val="22"/>
          <w:szCs w:val="22"/>
          <w:lang w:val="pt-BR"/>
        </w:rPr>
      </w:pPr>
      <w:r>
        <w:rPr>
          <w:rFonts w:ascii="Arial" w:hAnsi="Arial" w:cs="Arial"/>
          <w:color w:val="000000"/>
          <w:sz w:val="22"/>
          <w:szCs w:val="22"/>
          <w:lang w:val="pt-BR"/>
        </w:rPr>
        <w:drawing>
          <wp:inline distT="0" distB="0" distL="0" distR="0">
            <wp:extent cx="2806700" cy="935990"/>
            <wp:effectExtent l="19050" t="0" r="0" b="0"/>
            <wp:docPr id="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3"/>
                    <pic:cNvPicPr>
                      <a:picLocks noChangeAspect="1" noChangeArrowheads="1"/>
                    </pic:cNvPicPr>
                  </pic:nvPicPr>
                  <pic:blipFill>
                    <a:blip r:embed="rId6"/>
                    <a:srcRect/>
                    <a:stretch>
                      <a:fillRect/>
                    </a:stretch>
                  </pic:blipFill>
                  <pic:spPr>
                    <a:xfrm>
                      <a:off x="0" y="0"/>
                      <a:ext cx="2808201" cy="936948"/>
                    </a:xfrm>
                    <a:prstGeom prst="rect">
                      <a:avLst/>
                    </a:prstGeom>
                    <a:noFill/>
                    <a:ln w="9525">
                      <a:noFill/>
                      <a:miter lim="800000"/>
                      <a:headEnd/>
                      <a:tailEnd/>
                    </a:ln>
                  </pic:spPr>
                </pic:pic>
              </a:graphicData>
            </a:graphic>
          </wp:inline>
        </w:drawing>
      </w:r>
      <w:r>
        <w:rPr>
          <w:rFonts w:ascii="Arial" w:hAnsi="Arial" w:cs="Arial"/>
          <w:color w:val="000000"/>
          <w:sz w:val="22"/>
          <w:szCs w:val="22"/>
          <w:lang w:val="pt-BR"/>
        </w:rPr>
        <w:t xml:space="preserve">       </w:t>
      </w:r>
      <w:r>
        <w:rPr>
          <w:rFonts w:ascii="Arial" w:hAnsi="Arial" w:cs="Arial"/>
          <w:color w:val="000000"/>
          <w:sz w:val="22"/>
          <w:szCs w:val="22"/>
          <w:lang w:val="pt-BR"/>
        </w:rPr>
        <w:drawing>
          <wp:inline distT="0" distB="0" distL="0" distR="0">
            <wp:extent cx="1697990" cy="1626870"/>
            <wp:effectExtent l="19050" t="0" r="0" b="0"/>
            <wp:docPr id="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2"/>
                    <pic:cNvPicPr>
                      <a:picLocks noChangeAspect="1" noChangeArrowheads="1"/>
                    </pic:cNvPicPr>
                  </pic:nvPicPr>
                  <pic:blipFill>
                    <a:blip r:embed="rId7"/>
                    <a:srcRect/>
                    <a:stretch>
                      <a:fillRect/>
                    </a:stretch>
                  </pic:blipFill>
                  <pic:spPr>
                    <a:xfrm>
                      <a:off x="0" y="0"/>
                      <a:ext cx="1698887" cy="1627472"/>
                    </a:xfrm>
                    <a:prstGeom prst="rect">
                      <a:avLst/>
                    </a:prstGeom>
                    <a:noFill/>
                    <a:ln w="9525">
                      <a:noFill/>
                      <a:miter lim="800000"/>
                      <a:headEnd/>
                      <a:tailEnd/>
                    </a:ln>
                  </pic:spPr>
                </pic:pic>
              </a:graphicData>
            </a:graphic>
          </wp:inline>
        </w:drawing>
      </w:r>
    </w:p>
    <w:p>
      <w:pPr>
        <w:spacing w:line="360" w:lineRule="auto"/>
        <w:jc w:val="both"/>
        <w:rPr>
          <w:rFonts w:ascii="Arial" w:hAnsi="Arial" w:cs="Arial"/>
          <w:color w:val="000000"/>
          <w:sz w:val="22"/>
          <w:szCs w:val="22"/>
          <w:lang w:val="pt-BR"/>
        </w:rPr>
      </w:pPr>
      <w:r>
        <w:rPr>
          <w:rFonts w:ascii="Arial" w:hAnsi="Arial" w:cs="Arial"/>
          <w:color w:val="000000"/>
          <w:sz w:val="22"/>
          <w:szCs w:val="22"/>
          <w:lang w:val="pt-BR"/>
        </w:rPr>
        <w:t>Amostras: termoplásticos, elastômeros. Estudo sobre cura polimérica.</w:t>
      </w:r>
    </w:p>
    <w:p>
      <w:pPr>
        <w:rPr>
          <w:rFonts w:ascii="Arial" w:hAnsi="Arial" w:cs="Arial"/>
          <w:color w:val="000000"/>
          <w:sz w:val="22"/>
          <w:szCs w:val="22"/>
          <w:lang w:val="pt-BR"/>
        </w:rPr>
      </w:pPr>
      <w:r>
        <w:rPr>
          <w:rFonts w:ascii="Arial" w:hAnsi="Arial" w:cs="Arial"/>
          <w:color w:val="000000"/>
          <w:sz w:val="22"/>
          <w:szCs w:val="22"/>
          <w:lang w:val="pt-BR"/>
        </w:rPr>
        <w:br w:type="page"/>
      </w:r>
    </w:p>
    <w:p>
      <w:pPr>
        <w:pStyle w:val="6"/>
        <w:spacing w:line="360" w:lineRule="auto"/>
        <w:jc w:val="both"/>
        <w:rPr>
          <w:rFonts w:ascii="Arial" w:hAnsi="Arial" w:cs="Arial"/>
          <w:color w:val="FF0000"/>
          <w:sz w:val="22"/>
          <w:szCs w:val="22"/>
        </w:rPr>
      </w:pPr>
      <w:r>
        <w:rPr>
          <w:rFonts w:ascii="Arial" w:hAnsi="Arial" w:cs="Arial"/>
          <w:color w:val="FF0000"/>
          <w:sz w:val="22"/>
          <w:szCs w:val="22"/>
        </w:rPr>
        <w:t xml:space="preserve">b) Compressão </w:t>
      </w:r>
    </w:p>
    <w:p>
      <w:pPr>
        <w:spacing w:line="360" w:lineRule="auto"/>
        <w:jc w:val="both"/>
        <w:rPr>
          <w:rFonts w:ascii="Arial" w:hAnsi="Arial" w:cs="Arial"/>
          <w:color w:val="000000"/>
          <w:sz w:val="22"/>
          <w:szCs w:val="22"/>
          <w:lang w:val="pt-BR"/>
        </w:rPr>
      </w:pPr>
      <w:r>
        <w:rPr>
          <w:rFonts w:ascii="Arial" w:hAnsi="Arial" w:cs="Arial"/>
          <w:color w:val="000000"/>
          <w:sz w:val="22"/>
          <w:szCs w:val="22"/>
          <w:lang w:val="pt-BR"/>
        </w:rPr>
        <w:t>A amostra é disposta em porta-amostras na forma de disco e certa força é aplicada de cima para baixo com uma haste. Útil para materiais com baixo ou médio módulo (géis, elastômeros)</w:t>
      </w:r>
    </w:p>
    <w:p>
      <w:pPr>
        <w:spacing w:line="360" w:lineRule="auto"/>
        <w:jc w:val="both"/>
        <w:rPr>
          <w:rFonts w:ascii="Arial" w:hAnsi="Arial" w:cs="Arial"/>
          <w:color w:val="FF0000"/>
          <w:sz w:val="22"/>
          <w:szCs w:val="22"/>
        </w:rPr>
      </w:pPr>
      <w:r>
        <w:rPr>
          <w:rFonts w:ascii="Arial" w:hAnsi="Arial" w:cs="Arial"/>
          <w:color w:val="000000"/>
          <w:sz w:val="22"/>
          <w:szCs w:val="22"/>
          <w:lang w:val="pt-BR"/>
        </w:rPr>
        <w:drawing>
          <wp:inline distT="0" distB="0" distL="0" distR="0">
            <wp:extent cx="1429385" cy="1489075"/>
            <wp:effectExtent l="19050" t="0" r="0" b="0"/>
            <wp:docPr id="1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5"/>
                    <pic:cNvPicPr>
                      <a:picLocks noChangeAspect="1" noChangeArrowheads="1"/>
                    </pic:cNvPicPr>
                  </pic:nvPicPr>
                  <pic:blipFill>
                    <a:blip r:embed="rId8"/>
                    <a:srcRect/>
                    <a:stretch>
                      <a:fillRect/>
                    </a:stretch>
                  </pic:blipFill>
                  <pic:spPr>
                    <a:xfrm>
                      <a:off x="0" y="0"/>
                      <a:ext cx="1427011" cy="1486491"/>
                    </a:xfrm>
                    <a:prstGeom prst="rect">
                      <a:avLst/>
                    </a:prstGeom>
                    <a:noFill/>
                    <a:ln w="9525">
                      <a:noFill/>
                      <a:miter lim="800000"/>
                      <a:headEnd/>
                      <a:tailEnd/>
                    </a:ln>
                  </pic:spPr>
                </pic:pic>
              </a:graphicData>
            </a:graphic>
          </wp:inline>
        </w:drawing>
      </w:r>
      <w:r>
        <w:rPr>
          <w:rFonts w:ascii="Arial" w:hAnsi="Arial" w:cs="Arial"/>
          <w:color w:val="000000"/>
          <w:sz w:val="22"/>
          <w:szCs w:val="22"/>
          <w:lang w:val="pt-BR"/>
        </w:rPr>
        <w:drawing>
          <wp:inline distT="0" distB="0" distL="0" distR="0">
            <wp:extent cx="574675" cy="1267460"/>
            <wp:effectExtent l="19050" t="0" r="0" b="0"/>
            <wp:docPr id="1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6"/>
                    <pic:cNvPicPr>
                      <a:picLocks noChangeAspect="1" noChangeArrowheads="1"/>
                    </pic:cNvPicPr>
                  </pic:nvPicPr>
                  <pic:blipFill>
                    <a:blip r:embed="rId9"/>
                    <a:srcRect/>
                    <a:stretch>
                      <a:fillRect/>
                    </a:stretch>
                  </pic:blipFill>
                  <pic:spPr>
                    <a:xfrm>
                      <a:off x="0" y="0"/>
                      <a:ext cx="575590" cy="1269521"/>
                    </a:xfrm>
                    <a:prstGeom prst="rect">
                      <a:avLst/>
                    </a:prstGeom>
                    <a:noFill/>
                    <a:ln w="9525">
                      <a:noFill/>
                      <a:miter lim="800000"/>
                      <a:headEnd/>
                      <a:tailEnd/>
                    </a:ln>
                  </pic:spPr>
                </pic:pic>
              </a:graphicData>
            </a:graphic>
          </wp:inline>
        </w:drawing>
      </w:r>
      <w:r>
        <w:rPr>
          <w:rFonts w:ascii="Arial" w:hAnsi="Arial" w:cs="Arial"/>
          <w:color w:val="000000"/>
          <w:sz w:val="22"/>
          <w:szCs w:val="22"/>
          <w:lang w:val="pt-BR"/>
        </w:rPr>
        <w:drawing>
          <wp:inline distT="0" distB="0" distL="0" distR="0">
            <wp:extent cx="1906270" cy="848995"/>
            <wp:effectExtent l="19050" t="0" r="0" b="0"/>
            <wp:docPr id="1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7"/>
                    <pic:cNvPicPr>
                      <a:picLocks noChangeAspect="1" noChangeArrowheads="1"/>
                    </pic:cNvPicPr>
                  </pic:nvPicPr>
                  <pic:blipFill>
                    <a:blip r:embed="rId10" cstate="print"/>
                    <a:srcRect/>
                    <a:stretch>
                      <a:fillRect/>
                    </a:stretch>
                  </pic:blipFill>
                  <pic:spPr>
                    <a:xfrm>
                      <a:off x="0" y="0"/>
                      <a:ext cx="1908022" cy="850305"/>
                    </a:xfrm>
                    <a:prstGeom prst="rect">
                      <a:avLst/>
                    </a:prstGeom>
                    <a:noFill/>
                    <a:ln w="9525">
                      <a:noFill/>
                      <a:miter lim="800000"/>
                      <a:headEnd/>
                      <a:tailEnd/>
                    </a:ln>
                  </pic:spPr>
                </pic:pic>
              </a:graphicData>
            </a:graphic>
          </wp:inline>
        </w:drawing>
      </w:r>
    </w:p>
    <w:p>
      <w:pPr>
        <w:rPr>
          <w:rFonts w:ascii="Arial" w:hAnsi="Arial" w:cs="Arial"/>
          <w:color w:val="FF0000"/>
          <w:sz w:val="22"/>
          <w:szCs w:val="22"/>
        </w:rPr>
      </w:pPr>
      <w:r>
        <w:rPr>
          <w:rFonts w:ascii="Arial" w:hAnsi="Arial" w:cs="Arial"/>
          <w:color w:val="FF0000"/>
          <w:sz w:val="22"/>
          <w:szCs w:val="22"/>
        </w:rPr>
        <w:br w:type="page"/>
      </w:r>
    </w:p>
    <w:p>
      <w:pPr>
        <w:pStyle w:val="6"/>
        <w:spacing w:line="360" w:lineRule="auto"/>
        <w:jc w:val="both"/>
        <w:rPr>
          <w:rFonts w:ascii="Arial" w:hAnsi="Arial" w:cs="Arial"/>
          <w:color w:val="FF0000"/>
          <w:sz w:val="22"/>
          <w:szCs w:val="22"/>
        </w:rPr>
      </w:pPr>
      <w:r>
        <w:rPr>
          <w:rFonts w:ascii="Arial" w:hAnsi="Arial" w:cs="Arial"/>
          <w:color w:val="FF0000"/>
          <w:sz w:val="22"/>
          <w:szCs w:val="22"/>
        </w:rPr>
        <w:t xml:space="preserve">c) Tração </w:t>
      </w:r>
    </w:p>
    <w:p>
      <w:pPr>
        <w:spacing w:line="360" w:lineRule="auto"/>
        <w:jc w:val="both"/>
        <w:rPr>
          <w:rFonts w:ascii="Arial" w:hAnsi="Arial" w:cs="Arial"/>
          <w:color w:val="000000"/>
          <w:sz w:val="22"/>
          <w:szCs w:val="22"/>
          <w:lang w:val="pt-BR"/>
        </w:rPr>
      </w:pPr>
      <w:r>
        <w:rPr>
          <w:rFonts w:ascii="Arial" w:hAnsi="Arial" w:cs="Arial"/>
          <w:color w:val="000000"/>
          <w:sz w:val="22"/>
          <w:szCs w:val="22"/>
          <w:lang w:val="pt-BR"/>
        </w:rPr>
        <w:t xml:space="preserve">Muito usado em filmes finos, fibras e amostras finas de borracha. A parte inferior da amostra é presa a um porta-amostras e a parte superior é fixada à haste para o ensaio de tração uniaxial. </w:t>
      </w:r>
    </w:p>
    <w:p>
      <w:pPr>
        <w:spacing w:line="360" w:lineRule="auto"/>
        <w:jc w:val="both"/>
        <w:rPr>
          <w:rFonts w:ascii="Arial" w:hAnsi="Arial" w:cs="Arial"/>
          <w:sz w:val="22"/>
          <w:szCs w:val="22"/>
          <w:lang w:val="pt-BR"/>
        </w:rPr>
      </w:pPr>
      <w:r>
        <w:rPr>
          <w:rFonts w:ascii="Arial" w:hAnsi="Arial" w:cs="Arial"/>
          <w:sz w:val="22"/>
          <w:szCs w:val="22"/>
          <w:lang w:val="pt-BR"/>
        </w:rPr>
        <w:drawing>
          <wp:inline distT="0" distB="0" distL="0" distR="0">
            <wp:extent cx="649605" cy="1540510"/>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1"/>
                    <a:srcRect/>
                    <a:stretch>
                      <a:fillRect/>
                    </a:stretch>
                  </pic:blipFill>
                  <pic:spPr>
                    <a:xfrm>
                      <a:off x="0" y="0"/>
                      <a:ext cx="652861" cy="1547573"/>
                    </a:xfrm>
                    <a:prstGeom prst="rect">
                      <a:avLst/>
                    </a:prstGeom>
                    <a:noFill/>
                    <a:ln w="9525">
                      <a:noFill/>
                      <a:miter lim="800000"/>
                      <a:headEnd/>
                      <a:tailEnd/>
                    </a:ln>
                  </pic:spPr>
                </pic:pic>
              </a:graphicData>
            </a:graphic>
          </wp:inline>
        </w:drawing>
      </w:r>
      <w:r>
        <w:rPr>
          <w:rFonts w:ascii="Arial" w:hAnsi="Arial" w:cs="Arial"/>
          <w:sz w:val="22"/>
          <w:szCs w:val="22"/>
          <w:lang w:val="pt-BR"/>
        </w:rPr>
        <w:tab/>
      </w:r>
      <w:r>
        <w:rPr>
          <w:rFonts w:ascii="Arial" w:hAnsi="Arial" w:cs="Arial"/>
          <w:sz w:val="22"/>
          <w:szCs w:val="22"/>
          <w:lang w:val="pt-BR"/>
        </w:rPr>
        <w:drawing>
          <wp:inline distT="0" distB="0" distL="0" distR="0">
            <wp:extent cx="1169670" cy="1689735"/>
            <wp:effectExtent l="19050" t="0" r="0" b="0"/>
            <wp:docPr id="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2"/>
                    <pic:cNvPicPr>
                      <a:picLocks noChangeAspect="1" noChangeArrowheads="1"/>
                    </pic:cNvPicPr>
                  </pic:nvPicPr>
                  <pic:blipFill>
                    <a:blip r:embed="rId12"/>
                    <a:srcRect/>
                    <a:stretch>
                      <a:fillRect/>
                    </a:stretch>
                  </pic:blipFill>
                  <pic:spPr>
                    <a:xfrm>
                      <a:off x="0" y="0"/>
                      <a:ext cx="1171396" cy="1692014"/>
                    </a:xfrm>
                    <a:prstGeom prst="rect">
                      <a:avLst/>
                    </a:prstGeom>
                    <a:noFill/>
                    <a:ln w="9525">
                      <a:noFill/>
                      <a:miter lim="800000"/>
                      <a:headEnd/>
                      <a:tailEnd/>
                    </a:ln>
                  </pic:spPr>
                </pic:pic>
              </a:graphicData>
            </a:graphic>
          </wp:inline>
        </w:drawing>
      </w:r>
      <w:r>
        <w:rPr>
          <w:rFonts w:ascii="Arial" w:hAnsi="Arial" w:cs="Arial"/>
          <w:sz w:val="22"/>
          <w:szCs w:val="22"/>
          <w:lang w:val="pt-BR"/>
        </w:rPr>
        <w:t xml:space="preserve">  </w:t>
      </w:r>
      <w:r>
        <w:rPr>
          <w:rFonts w:ascii="Arial" w:hAnsi="Arial" w:cs="Arial"/>
          <w:sz w:val="22"/>
          <w:szCs w:val="22"/>
          <w:lang w:val="pt-BR"/>
        </w:rPr>
        <w:drawing>
          <wp:inline distT="0" distB="0" distL="0" distR="0">
            <wp:extent cx="975995" cy="1711960"/>
            <wp:effectExtent l="19050" t="0" r="0" b="0"/>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3"/>
                    <pic:cNvPicPr>
                      <a:picLocks noChangeAspect="1" noChangeArrowheads="1"/>
                    </pic:cNvPicPr>
                  </pic:nvPicPr>
                  <pic:blipFill>
                    <a:blip r:embed="rId13"/>
                    <a:srcRect/>
                    <a:stretch>
                      <a:fillRect/>
                    </a:stretch>
                  </pic:blipFill>
                  <pic:spPr>
                    <a:xfrm>
                      <a:off x="0" y="0"/>
                      <a:ext cx="979477" cy="1717716"/>
                    </a:xfrm>
                    <a:prstGeom prst="rect">
                      <a:avLst/>
                    </a:prstGeom>
                    <a:noFill/>
                    <a:ln w="9525">
                      <a:noFill/>
                      <a:miter lim="800000"/>
                      <a:headEnd/>
                      <a:tailEnd/>
                    </a:ln>
                  </pic:spPr>
                </pic:pic>
              </a:graphicData>
            </a:graphic>
          </wp:inline>
        </w:drawing>
      </w:r>
      <w:r>
        <w:rPr>
          <w:rFonts w:ascii="Arial" w:hAnsi="Arial" w:cs="Arial"/>
          <w:sz w:val="22"/>
          <w:szCs w:val="22"/>
          <w:lang w:val="pt-BR"/>
        </w:rPr>
        <w:drawing>
          <wp:inline distT="0" distB="0" distL="0" distR="0">
            <wp:extent cx="2098040" cy="1083945"/>
            <wp:effectExtent l="19050" t="0" r="0" b="0"/>
            <wp:docPr id="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4"/>
                    <pic:cNvPicPr>
                      <a:picLocks noChangeAspect="1" noChangeArrowheads="1"/>
                    </pic:cNvPicPr>
                  </pic:nvPicPr>
                  <pic:blipFill>
                    <a:blip r:embed="rId14"/>
                    <a:srcRect/>
                    <a:stretch>
                      <a:fillRect/>
                    </a:stretch>
                  </pic:blipFill>
                  <pic:spPr>
                    <a:xfrm>
                      <a:off x="0" y="0"/>
                      <a:ext cx="2104481" cy="1087564"/>
                    </a:xfrm>
                    <a:prstGeom prst="rect">
                      <a:avLst/>
                    </a:prstGeom>
                    <a:noFill/>
                    <a:ln w="9525">
                      <a:noFill/>
                      <a:miter lim="800000"/>
                      <a:headEnd/>
                      <a:tailEnd/>
                    </a:ln>
                  </pic:spPr>
                </pic:pic>
              </a:graphicData>
            </a:graphic>
          </wp:inline>
        </w:drawing>
      </w:r>
    </w:p>
    <w:p>
      <w:pPr>
        <w:rPr>
          <w:rFonts w:ascii="Arial" w:hAnsi="Arial" w:cs="Arial"/>
          <w:color w:val="FF0000"/>
          <w:sz w:val="22"/>
          <w:szCs w:val="22"/>
          <w:lang w:val="pt-BR"/>
        </w:rPr>
      </w:pPr>
      <w:r>
        <w:rPr>
          <w:rFonts w:ascii="Arial" w:hAnsi="Arial" w:cs="Arial"/>
          <w:color w:val="FF0000"/>
          <w:sz w:val="22"/>
          <w:szCs w:val="22"/>
          <w:lang w:val="pt-BR"/>
        </w:rPr>
        <w:br w:type="page"/>
      </w:r>
    </w:p>
    <w:p>
      <w:pPr>
        <w:spacing w:line="360" w:lineRule="auto"/>
        <w:jc w:val="both"/>
        <w:rPr>
          <w:rFonts w:ascii="Arial" w:hAnsi="Arial" w:cs="Arial"/>
          <w:color w:val="FF0000"/>
          <w:sz w:val="22"/>
          <w:szCs w:val="22"/>
          <w:lang w:val="pt-BR"/>
        </w:rPr>
      </w:pPr>
      <w:r>
        <w:rPr>
          <w:rFonts w:ascii="Arial" w:hAnsi="Arial" w:cs="Arial"/>
          <w:color w:val="FF0000"/>
          <w:sz w:val="22"/>
          <w:szCs w:val="22"/>
          <w:lang w:val="pt-BR"/>
        </w:rPr>
        <w:t>d) Cisalhamento</w:t>
      </w:r>
    </w:p>
    <w:p>
      <w:pPr>
        <w:spacing w:line="360" w:lineRule="auto"/>
        <w:jc w:val="both"/>
        <w:rPr>
          <w:rFonts w:ascii="Arial" w:hAnsi="Arial" w:cs="Arial"/>
          <w:sz w:val="22"/>
          <w:szCs w:val="22"/>
          <w:lang w:val="pt-BR"/>
        </w:rPr>
      </w:pPr>
      <w:r>
        <w:rPr>
          <w:rFonts w:ascii="Arial" w:hAnsi="Arial" w:cs="Arial"/>
          <w:sz w:val="22"/>
          <w:szCs w:val="22"/>
          <w:lang w:val="pt-BR"/>
        </w:rPr>
        <w:drawing>
          <wp:inline distT="0" distB="0" distL="0" distR="0">
            <wp:extent cx="995045" cy="1784350"/>
            <wp:effectExtent l="19050" t="0" r="0" b="0"/>
            <wp:docPr id="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5"/>
                    <pic:cNvPicPr>
                      <a:picLocks noChangeAspect="1" noChangeArrowheads="1"/>
                    </pic:cNvPicPr>
                  </pic:nvPicPr>
                  <pic:blipFill>
                    <a:blip r:embed="rId15"/>
                    <a:srcRect/>
                    <a:stretch>
                      <a:fillRect/>
                    </a:stretch>
                  </pic:blipFill>
                  <pic:spPr>
                    <a:xfrm>
                      <a:off x="0" y="0"/>
                      <a:ext cx="995078" cy="1784692"/>
                    </a:xfrm>
                    <a:prstGeom prst="rect">
                      <a:avLst/>
                    </a:prstGeom>
                    <a:noFill/>
                    <a:ln w="9525">
                      <a:noFill/>
                      <a:miter lim="800000"/>
                      <a:headEnd/>
                      <a:tailEnd/>
                    </a:ln>
                  </pic:spPr>
                </pic:pic>
              </a:graphicData>
            </a:graphic>
          </wp:inline>
        </w:drawing>
      </w:r>
      <w:r>
        <w:rPr>
          <w:rFonts w:ascii="Arial" w:hAnsi="Arial" w:cs="Arial"/>
          <w:sz w:val="22"/>
          <w:szCs w:val="22"/>
          <w:lang w:val="pt-BR"/>
        </w:rPr>
        <w:drawing>
          <wp:inline distT="0" distB="0" distL="0" distR="0">
            <wp:extent cx="1187450" cy="1524000"/>
            <wp:effectExtent l="19050" t="0" r="0" b="0"/>
            <wp:docPr id="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6"/>
                    <pic:cNvPicPr>
                      <a:picLocks noChangeAspect="1" noChangeArrowheads="1"/>
                    </pic:cNvPicPr>
                  </pic:nvPicPr>
                  <pic:blipFill>
                    <a:blip r:embed="rId16"/>
                    <a:srcRect/>
                    <a:stretch>
                      <a:fillRect/>
                    </a:stretch>
                  </pic:blipFill>
                  <pic:spPr>
                    <a:xfrm>
                      <a:off x="0" y="0"/>
                      <a:ext cx="1188696" cy="1525086"/>
                    </a:xfrm>
                    <a:prstGeom prst="rect">
                      <a:avLst/>
                    </a:prstGeom>
                    <a:noFill/>
                    <a:ln w="9525">
                      <a:noFill/>
                      <a:miter lim="800000"/>
                      <a:headEnd/>
                      <a:tailEnd/>
                    </a:ln>
                  </pic:spPr>
                </pic:pic>
              </a:graphicData>
            </a:graphic>
          </wp:inline>
        </w:drawing>
      </w:r>
      <w:r>
        <w:rPr>
          <w:rFonts w:ascii="Arial" w:hAnsi="Arial" w:cs="Arial"/>
          <w:sz w:val="22"/>
          <w:szCs w:val="22"/>
          <w:lang w:val="pt-BR"/>
        </w:rPr>
        <w:drawing>
          <wp:inline distT="0" distB="0" distL="0" distR="0">
            <wp:extent cx="1715770" cy="1296670"/>
            <wp:effectExtent l="19050" t="0" r="0" b="0"/>
            <wp:docPr id="1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7"/>
                    <pic:cNvPicPr>
                      <a:picLocks noChangeAspect="1" noChangeArrowheads="1"/>
                    </pic:cNvPicPr>
                  </pic:nvPicPr>
                  <pic:blipFill>
                    <a:blip r:embed="rId17"/>
                    <a:srcRect/>
                    <a:stretch>
                      <a:fillRect/>
                    </a:stretch>
                  </pic:blipFill>
                  <pic:spPr>
                    <a:xfrm>
                      <a:off x="0" y="0"/>
                      <a:ext cx="1717601" cy="1297868"/>
                    </a:xfrm>
                    <a:prstGeom prst="rect">
                      <a:avLst/>
                    </a:prstGeom>
                    <a:noFill/>
                    <a:ln w="9525">
                      <a:noFill/>
                      <a:miter lim="800000"/>
                      <a:headEnd/>
                      <a:tailEnd/>
                    </a:ln>
                  </pic:spPr>
                </pic:pic>
              </a:graphicData>
            </a:graphic>
          </wp:inline>
        </w:drawing>
      </w:r>
    </w:p>
    <w:p>
      <w:pPr>
        <w:spacing w:line="360" w:lineRule="auto"/>
        <w:jc w:val="both"/>
        <w:rPr>
          <w:rFonts w:ascii="Arial" w:hAnsi="Arial" w:cs="Arial"/>
          <w:sz w:val="22"/>
          <w:szCs w:val="22"/>
          <w:lang w:val="pt-BR"/>
        </w:rPr>
      </w:pPr>
    </w:p>
    <w:p>
      <w:pPr>
        <w:spacing w:line="360" w:lineRule="auto"/>
        <w:jc w:val="both"/>
        <w:rPr>
          <w:rFonts w:ascii="Arial" w:hAnsi="Arial" w:cs="Arial"/>
          <w:sz w:val="22"/>
          <w:szCs w:val="22"/>
          <w:lang w:val="pt-BR"/>
        </w:rPr>
      </w:pPr>
      <w:r>
        <w:rPr>
          <w:rFonts w:ascii="Arial" w:hAnsi="Arial" w:cs="Arial"/>
          <w:sz w:val="22"/>
          <w:szCs w:val="22"/>
          <w:lang w:val="pt-BR"/>
        </w:rPr>
        <w:t>Permite a obtenção de G*, G’, G” e G(t); usada para análises de géis, adesivos e elastômeros com alta Tg, fundidos e resinas de alta viscosidade.</w:t>
      </w:r>
    </w:p>
    <w:p>
      <w:pPr>
        <w:rPr>
          <w:rFonts w:ascii="Arial" w:hAnsi="Arial" w:cs="Arial"/>
          <w:color w:val="FF0000"/>
          <w:sz w:val="22"/>
          <w:szCs w:val="22"/>
          <w:lang w:val="pt-BR"/>
        </w:rPr>
      </w:pPr>
      <w:r>
        <w:rPr>
          <w:rFonts w:ascii="Arial" w:hAnsi="Arial" w:cs="Arial"/>
          <w:color w:val="FF0000"/>
          <w:sz w:val="22"/>
          <w:szCs w:val="22"/>
          <w:lang w:val="pt-BR"/>
        </w:rPr>
        <w:br w:type="page"/>
      </w:r>
    </w:p>
    <w:p>
      <w:pPr>
        <w:spacing w:line="360" w:lineRule="auto"/>
        <w:jc w:val="center"/>
        <w:rPr>
          <w:rFonts w:ascii="Arial" w:hAnsi="Arial" w:cs="Arial"/>
          <w:color w:val="FF0000"/>
          <w:sz w:val="22"/>
          <w:szCs w:val="22"/>
          <w:lang w:val="pt-BR"/>
        </w:rPr>
      </w:pPr>
      <w:r>
        <w:rPr>
          <w:rFonts w:ascii="Arial" w:hAnsi="Arial" w:cs="Arial"/>
          <w:color w:val="FF0000"/>
          <w:sz w:val="22"/>
          <w:szCs w:val="22"/>
          <w:lang w:val="pt-BR"/>
        </w:rPr>
        <w:t>Teoria</w:t>
      </w:r>
    </w:p>
    <w:p>
      <w:pPr>
        <w:pStyle w:val="16"/>
        <w:numPr>
          <w:ilvl w:val="0"/>
          <w:numId w:val="1"/>
        </w:numPr>
        <w:spacing w:line="360" w:lineRule="auto"/>
        <w:jc w:val="center"/>
        <w:rPr>
          <w:rFonts w:ascii="Arial" w:hAnsi="Arial" w:cs="Arial"/>
          <w:color w:val="FF0000"/>
          <w:sz w:val="22"/>
          <w:szCs w:val="22"/>
          <w:lang w:val="pt-BR"/>
        </w:rPr>
      </w:pPr>
      <w:r>
        <w:rPr>
          <w:rFonts w:ascii="Arial" w:hAnsi="Arial" w:cs="Arial"/>
          <w:color w:val="FF0000"/>
          <w:sz w:val="22"/>
          <w:szCs w:val="22"/>
          <w:lang w:val="pt-BR"/>
        </w:rPr>
        <w:t>Definições – artigo de Luckenbach</w:t>
      </w:r>
    </w:p>
    <w:p>
      <w:pPr>
        <w:autoSpaceDE w:val="0"/>
        <w:autoSpaceDN w:val="0"/>
        <w:adjustRightInd w:val="0"/>
        <w:spacing w:line="360" w:lineRule="auto"/>
        <w:jc w:val="both"/>
        <w:rPr>
          <w:rFonts w:ascii="Arial" w:hAnsi="Arial" w:cs="Arial" w:eastAsiaTheme="minorHAnsi"/>
          <w:sz w:val="22"/>
          <w:szCs w:val="22"/>
          <w:lang w:eastAsia="en-US"/>
        </w:rPr>
      </w:pPr>
      <w:r>
        <w:rPr>
          <w:rFonts w:ascii="Arial" w:hAnsi="Arial" w:cs="Arial" w:eastAsiaTheme="minorHAnsi"/>
          <w:b/>
          <w:bCs/>
          <w:sz w:val="22"/>
          <w:szCs w:val="22"/>
          <w:lang w:eastAsia="en-US"/>
        </w:rPr>
        <w:t>&gt;&gt;&gt;Rheology</w:t>
      </w:r>
      <w:r>
        <w:rPr>
          <w:rFonts w:ascii="Arial" w:hAnsi="Arial" w:cs="Arial" w:eastAsiaTheme="minorHAnsi"/>
          <w:sz w:val="22"/>
          <w:szCs w:val="22"/>
          <w:lang w:eastAsia="en-US"/>
        </w:rPr>
        <w:t>. science that studies the deformation and flow of materials in liquid, melt, or solid form in terms of the material's elasticity and viscosity. This is accomplished by applying a precisely measured strain to the sample to deform it, and accurately measuring the resulting stress developed in the sample. The developed stresses are related to material properties through Hooke’s and Newton’s laws.</w:t>
      </w:r>
    </w:p>
    <w:p>
      <w:pPr>
        <w:autoSpaceDE w:val="0"/>
        <w:autoSpaceDN w:val="0"/>
        <w:adjustRightInd w:val="0"/>
        <w:spacing w:line="360" w:lineRule="auto"/>
        <w:jc w:val="both"/>
        <w:rPr>
          <w:rFonts w:ascii="Arial" w:hAnsi="Arial" w:cs="Arial" w:eastAsiaTheme="minorHAnsi"/>
          <w:sz w:val="22"/>
          <w:szCs w:val="22"/>
          <w:lang w:eastAsia="en-US"/>
        </w:rPr>
      </w:pPr>
      <w:r>
        <w:rPr>
          <w:rFonts w:ascii="Arial" w:hAnsi="Arial" w:cs="Arial" w:eastAsiaTheme="minorHAnsi"/>
          <w:b/>
          <w:bCs/>
          <w:sz w:val="22"/>
          <w:szCs w:val="22"/>
          <w:lang w:eastAsia="en-US"/>
        </w:rPr>
        <w:t>Elasticity</w:t>
      </w:r>
      <w:r>
        <w:rPr>
          <w:rFonts w:ascii="Arial" w:hAnsi="Arial" w:cs="Arial" w:eastAsiaTheme="minorHAnsi"/>
          <w:sz w:val="22"/>
          <w:szCs w:val="22"/>
          <w:lang w:eastAsia="en-US"/>
        </w:rPr>
        <w:t>. ability of a material to store deformational energy, and can be viewed simply as the capacity of a material to regain its original shape after being deformed.</w:t>
      </w:r>
    </w:p>
    <w:p>
      <w:pPr>
        <w:autoSpaceDE w:val="0"/>
        <w:autoSpaceDN w:val="0"/>
        <w:adjustRightInd w:val="0"/>
        <w:spacing w:line="360" w:lineRule="auto"/>
        <w:jc w:val="both"/>
        <w:rPr>
          <w:rFonts w:ascii="Arial" w:hAnsi="Arial" w:cs="Arial" w:eastAsiaTheme="minorHAnsi"/>
          <w:sz w:val="22"/>
          <w:szCs w:val="22"/>
          <w:lang w:eastAsia="en-US"/>
        </w:rPr>
      </w:pPr>
      <w:r>
        <w:rPr>
          <w:rFonts w:ascii="Arial" w:hAnsi="Arial" w:cs="Arial" w:eastAsiaTheme="minorHAnsi"/>
          <w:b/>
          <w:bCs/>
          <w:sz w:val="22"/>
          <w:szCs w:val="22"/>
          <w:lang w:eastAsia="en-US"/>
        </w:rPr>
        <w:t>Viscosity</w:t>
      </w:r>
      <w:r>
        <w:rPr>
          <w:rFonts w:ascii="Arial" w:hAnsi="Arial" w:cs="Arial" w:eastAsiaTheme="minorHAnsi"/>
          <w:sz w:val="22"/>
          <w:szCs w:val="22"/>
          <w:lang w:eastAsia="en-US"/>
        </w:rPr>
        <w:t>. a measure of a material’s resistance to flow.</w:t>
      </w:r>
    </w:p>
    <w:p>
      <w:pPr>
        <w:autoSpaceDE w:val="0"/>
        <w:autoSpaceDN w:val="0"/>
        <w:adjustRightInd w:val="0"/>
        <w:spacing w:line="360" w:lineRule="auto"/>
        <w:jc w:val="both"/>
        <w:rPr>
          <w:rFonts w:ascii="Arial" w:hAnsi="Arial" w:cs="Arial" w:eastAsiaTheme="minorHAnsi"/>
          <w:sz w:val="22"/>
          <w:szCs w:val="22"/>
          <w:lang w:eastAsia="en-US"/>
        </w:rPr>
      </w:pPr>
      <w:r>
        <w:rPr>
          <w:rFonts w:ascii="Arial" w:hAnsi="Arial" w:cs="Arial" w:eastAsiaTheme="minorHAnsi"/>
          <w:b/>
          <w:bCs/>
          <w:sz w:val="22"/>
          <w:szCs w:val="22"/>
          <w:lang w:eastAsia="en-US"/>
        </w:rPr>
        <w:t>Viscoelasticity</w:t>
      </w:r>
      <w:r>
        <w:rPr>
          <w:rFonts w:ascii="Arial" w:hAnsi="Arial" w:cs="Arial" w:eastAsiaTheme="minorHAnsi"/>
          <w:sz w:val="22"/>
          <w:szCs w:val="22"/>
          <w:lang w:eastAsia="en-US"/>
        </w:rPr>
        <w:t>. Materials respond to an applied displacement or force by exhibiting either elastic or viscous behavior, or a combination of these, called viscoelastic behavior. Most polymers are viscoelastic, their mechanical properties showing a marked time- and temperature- dependence.</w:t>
      </w:r>
    </w:p>
    <w:p>
      <w:pPr>
        <w:autoSpaceDE w:val="0"/>
        <w:autoSpaceDN w:val="0"/>
        <w:adjustRightInd w:val="0"/>
        <w:spacing w:line="360" w:lineRule="auto"/>
        <w:jc w:val="both"/>
        <w:rPr>
          <w:rFonts w:ascii="Arial" w:hAnsi="Arial" w:cs="Arial" w:eastAsiaTheme="minorHAnsi"/>
          <w:sz w:val="22"/>
          <w:szCs w:val="22"/>
          <w:lang w:eastAsia="en-US"/>
        </w:rPr>
      </w:pPr>
      <w:r>
        <w:rPr>
          <w:rFonts w:ascii="Arial" w:hAnsi="Arial" w:cs="Arial" w:eastAsiaTheme="minorHAnsi"/>
          <w:b/>
          <w:bCs/>
          <w:sz w:val="22"/>
          <w:szCs w:val="22"/>
          <w:lang w:eastAsia="en-US"/>
        </w:rPr>
        <w:t>Stress</w:t>
      </w:r>
      <w:r>
        <w:rPr>
          <w:rFonts w:ascii="Arial" w:hAnsi="Arial" w:cs="Arial" w:eastAsiaTheme="minorHAnsi"/>
          <w:sz w:val="22"/>
          <w:szCs w:val="22"/>
          <w:lang w:eastAsia="en-US"/>
        </w:rPr>
        <w:t>. a distribution of forces over an infinitesimal area.</w:t>
      </w:r>
    </w:p>
    <w:p>
      <w:pPr>
        <w:autoSpaceDE w:val="0"/>
        <w:autoSpaceDN w:val="0"/>
        <w:adjustRightInd w:val="0"/>
        <w:spacing w:line="360" w:lineRule="auto"/>
        <w:jc w:val="both"/>
        <w:rPr>
          <w:rFonts w:ascii="Arial" w:hAnsi="Arial" w:cs="Arial" w:eastAsiaTheme="minorHAnsi"/>
          <w:sz w:val="22"/>
          <w:szCs w:val="22"/>
          <w:lang w:eastAsia="en-US"/>
        </w:rPr>
      </w:pPr>
      <w:r>
        <w:rPr>
          <w:rFonts w:ascii="Arial" w:hAnsi="Arial" w:cs="Arial" w:eastAsiaTheme="minorHAnsi"/>
          <w:b/>
          <w:bCs/>
          <w:sz w:val="22"/>
          <w:szCs w:val="22"/>
          <w:lang w:eastAsia="en-US"/>
        </w:rPr>
        <w:t>Strain</w:t>
      </w:r>
      <w:r>
        <w:rPr>
          <w:rFonts w:ascii="Arial" w:hAnsi="Arial" w:cs="Arial" w:eastAsiaTheme="minorHAnsi"/>
          <w:sz w:val="22"/>
          <w:szCs w:val="22"/>
          <w:lang w:eastAsia="en-US"/>
        </w:rPr>
        <w:t>. a measure of a body’s change in shape. The change in strain with time is the shear rate. The change in strain with time is the shear rate.</w:t>
      </w:r>
    </w:p>
    <w:p>
      <w:pPr>
        <w:autoSpaceDE w:val="0"/>
        <w:autoSpaceDN w:val="0"/>
        <w:adjustRightInd w:val="0"/>
        <w:spacing w:line="360" w:lineRule="auto"/>
        <w:jc w:val="both"/>
        <w:rPr>
          <w:rFonts w:ascii="Arial" w:hAnsi="Arial" w:cs="Arial" w:eastAsiaTheme="minorHAnsi"/>
          <w:sz w:val="22"/>
          <w:szCs w:val="22"/>
          <w:lang w:eastAsia="en-US"/>
        </w:rPr>
      </w:pPr>
      <w:r>
        <w:rPr>
          <w:rFonts w:ascii="Arial" w:hAnsi="Arial" w:cs="Arial" w:eastAsiaTheme="minorHAnsi"/>
          <w:b/>
          <w:bCs/>
          <w:sz w:val="22"/>
          <w:szCs w:val="22"/>
          <w:lang w:eastAsia="en-US"/>
        </w:rPr>
        <w:t>Hooke’s law</w:t>
      </w:r>
      <w:r>
        <w:rPr>
          <w:rFonts w:ascii="Arial" w:hAnsi="Arial" w:cs="Arial" w:eastAsiaTheme="minorHAnsi"/>
          <w:sz w:val="22"/>
          <w:szCs w:val="22"/>
          <w:lang w:eastAsia="en-US"/>
        </w:rPr>
        <w:t>. defines the mechanical behavior of an ideal solid, relating the applied strain (</w:t>
      </w:r>
      <w:r>
        <w:rPr>
          <w:rFonts w:ascii="Arial" w:hAnsi="Arial" w:cs="Arial" w:eastAsiaTheme="minorHAnsi"/>
          <w:sz w:val="22"/>
          <w:szCs w:val="22"/>
          <w:lang w:val="pt-BR" w:eastAsia="en-US"/>
        </w:rPr>
        <w:t>ε</w:t>
      </w:r>
      <w:r>
        <w:rPr>
          <w:rFonts w:ascii="Arial" w:hAnsi="Arial" w:cs="Arial" w:eastAsiaTheme="minorHAnsi"/>
          <w:sz w:val="22"/>
          <w:szCs w:val="22"/>
          <w:lang w:eastAsia="en-US"/>
        </w:rPr>
        <w:t xml:space="preserve"> or </w:t>
      </w:r>
      <w:r>
        <w:rPr>
          <w:rFonts w:ascii="Arial" w:hAnsi="Arial" w:cs="Arial" w:eastAsiaTheme="minorHAnsi"/>
          <w:sz w:val="22"/>
          <w:szCs w:val="22"/>
          <w:lang w:val="pt-BR" w:eastAsia="en-US"/>
        </w:rPr>
        <w:sym w:font="Symbol" w:char="F067"/>
      </w:r>
      <w:r>
        <w:rPr>
          <w:rFonts w:ascii="Arial" w:hAnsi="Arial" w:cs="Arial" w:eastAsiaTheme="minorHAnsi"/>
          <w:sz w:val="22"/>
          <w:szCs w:val="22"/>
          <w:lang w:eastAsia="en-US"/>
        </w:rPr>
        <w:t>) to the resultant stress (</w:t>
      </w:r>
      <w:r>
        <w:rPr>
          <w:rFonts w:ascii="Arial" w:hAnsi="Arial" w:cs="Arial" w:eastAsiaTheme="minorHAnsi"/>
          <w:sz w:val="22"/>
          <w:szCs w:val="22"/>
          <w:lang w:val="pt-BR" w:eastAsia="en-US"/>
        </w:rPr>
        <w:t>σ</w:t>
      </w:r>
      <w:r>
        <w:rPr>
          <w:rFonts w:ascii="Arial" w:hAnsi="Arial" w:cs="Arial" w:eastAsiaTheme="minorHAnsi"/>
          <w:sz w:val="22"/>
          <w:szCs w:val="22"/>
          <w:lang w:eastAsia="en-US"/>
        </w:rPr>
        <w:t xml:space="preserve"> or </w:t>
      </w:r>
      <w:r>
        <w:rPr>
          <w:rFonts w:ascii="Arial" w:hAnsi="Arial" w:cs="Arial" w:eastAsiaTheme="minorHAnsi"/>
          <w:sz w:val="22"/>
          <w:szCs w:val="22"/>
          <w:lang w:val="pt-BR" w:eastAsia="en-US"/>
        </w:rPr>
        <w:sym w:font="Symbol" w:char="F074"/>
      </w:r>
      <w:r>
        <w:rPr>
          <w:rFonts w:ascii="Arial" w:hAnsi="Arial" w:cs="Arial" w:eastAsiaTheme="minorHAnsi"/>
          <w:sz w:val="22"/>
          <w:szCs w:val="22"/>
          <w:lang w:eastAsia="en-US"/>
        </w:rPr>
        <w:t xml:space="preserve">) through a factor called the modulus (E or G). Thus, </w:t>
      </w:r>
      <w:r>
        <w:rPr>
          <w:rFonts w:ascii="Arial" w:hAnsi="Arial" w:cs="Arial" w:eastAsiaTheme="minorHAnsi"/>
          <w:sz w:val="22"/>
          <w:szCs w:val="22"/>
          <w:lang w:val="pt-BR" w:eastAsia="en-US"/>
        </w:rPr>
        <w:t>σ</w:t>
      </w:r>
      <w:r>
        <w:rPr>
          <w:rFonts w:ascii="Arial" w:hAnsi="Arial" w:cs="Arial" w:eastAsiaTheme="minorHAnsi"/>
          <w:sz w:val="22"/>
          <w:szCs w:val="22"/>
          <w:lang w:eastAsia="en-US"/>
        </w:rPr>
        <w:t xml:space="preserve"> = E</w:t>
      </w:r>
      <w:r>
        <w:rPr>
          <w:rFonts w:ascii="Arial" w:hAnsi="Arial" w:cs="Arial" w:eastAsiaTheme="minorHAnsi"/>
          <w:sz w:val="22"/>
          <w:szCs w:val="22"/>
          <w:lang w:val="pt-BR" w:eastAsia="en-US"/>
        </w:rPr>
        <w:t>ε</w:t>
      </w:r>
      <w:r>
        <w:rPr>
          <w:rFonts w:ascii="Arial" w:hAnsi="Arial" w:cs="Arial" w:eastAsiaTheme="minorHAnsi"/>
          <w:sz w:val="22"/>
          <w:szCs w:val="22"/>
          <w:lang w:eastAsia="en-US"/>
        </w:rPr>
        <w:t xml:space="preserve"> (tension, bending) or </w:t>
      </w:r>
      <w:r>
        <w:rPr>
          <w:rFonts w:ascii="Arial" w:hAnsi="Arial" w:cs="Arial" w:eastAsiaTheme="minorHAnsi"/>
          <w:sz w:val="22"/>
          <w:szCs w:val="22"/>
          <w:lang w:val="pt-BR" w:eastAsia="en-US"/>
        </w:rPr>
        <w:sym w:font="Symbol" w:char="F074"/>
      </w:r>
      <w:r>
        <w:rPr>
          <w:rFonts w:ascii="Arial" w:hAnsi="Arial" w:cs="Arial" w:eastAsiaTheme="minorHAnsi"/>
          <w:sz w:val="22"/>
          <w:szCs w:val="22"/>
          <w:lang w:eastAsia="en-US"/>
        </w:rPr>
        <w:t xml:space="preserve"> = G</w:t>
      </w:r>
      <w:r>
        <w:rPr>
          <w:rFonts w:ascii="Arial" w:hAnsi="Arial" w:cs="Arial" w:eastAsiaTheme="minorHAnsi"/>
          <w:sz w:val="22"/>
          <w:szCs w:val="22"/>
          <w:lang w:val="pt-BR" w:eastAsia="en-US"/>
        </w:rPr>
        <w:sym w:font="Symbol" w:char="F067"/>
      </w:r>
      <w:r>
        <w:rPr>
          <w:rFonts w:ascii="Arial" w:hAnsi="Arial" w:cs="Arial" w:eastAsiaTheme="minorHAnsi"/>
          <w:sz w:val="22"/>
          <w:szCs w:val="22"/>
          <w:lang w:eastAsia="en-US"/>
        </w:rPr>
        <w:t xml:space="preserve"> (shear). The modulus is a measure of the material's stiffness (i.e., its ability to resist deformation). The linear region in which the modulus does not change when the strain is changed is called the Hookean region.</w:t>
      </w:r>
    </w:p>
    <w:p>
      <w:pPr>
        <w:autoSpaceDE w:val="0"/>
        <w:autoSpaceDN w:val="0"/>
        <w:adjustRightInd w:val="0"/>
        <w:spacing w:line="360" w:lineRule="auto"/>
        <w:jc w:val="both"/>
        <w:rPr>
          <w:rFonts w:ascii="Arial" w:hAnsi="Arial" w:cs="Arial" w:eastAsiaTheme="minorHAnsi"/>
          <w:sz w:val="22"/>
          <w:szCs w:val="22"/>
          <w:lang w:eastAsia="en-US"/>
        </w:rPr>
      </w:pPr>
      <w:r>
        <w:rPr>
          <w:rFonts w:ascii="Arial" w:hAnsi="Arial" w:cs="Arial" w:eastAsiaTheme="minorHAnsi"/>
          <w:b/>
          <w:bCs/>
          <w:sz w:val="22"/>
          <w:szCs w:val="22"/>
          <w:lang w:eastAsia="en-US"/>
        </w:rPr>
        <w:t>Newton’s Law</w:t>
      </w:r>
      <w:r>
        <w:rPr>
          <w:rFonts w:ascii="Arial" w:hAnsi="Arial" w:cs="Arial" w:eastAsiaTheme="minorHAnsi"/>
          <w:sz w:val="22"/>
          <w:szCs w:val="22"/>
          <w:lang w:eastAsia="en-US"/>
        </w:rPr>
        <w:t>. Newton developed a relationship similar to Hooke's law for ideal viscous fluids, relating the stress (</w:t>
      </w:r>
      <w:r>
        <w:rPr>
          <w:rFonts w:ascii="Arial" w:hAnsi="Arial" w:cs="Arial" w:eastAsiaTheme="minorHAnsi"/>
          <w:sz w:val="22"/>
          <w:szCs w:val="22"/>
          <w:lang w:val="pt-BR" w:eastAsia="en-US"/>
        </w:rPr>
        <w:t>τ</w:t>
      </w:r>
      <w:r>
        <w:rPr>
          <w:rFonts w:ascii="Arial" w:hAnsi="Arial" w:cs="Arial" w:eastAsiaTheme="minorHAnsi"/>
          <w:sz w:val="22"/>
          <w:szCs w:val="22"/>
          <w:lang w:eastAsia="en-US"/>
        </w:rPr>
        <w:t>) linearly to the shear rate (d</w:t>
      </w:r>
      <w:r>
        <w:rPr>
          <w:rFonts w:ascii="Arial" w:hAnsi="Arial" w:cs="Arial" w:eastAsiaTheme="minorHAnsi"/>
          <w:sz w:val="22"/>
          <w:szCs w:val="22"/>
          <w:lang w:val="pt-BR" w:eastAsia="en-US"/>
        </w:rPr>
        <w:t>γ</w:t>
      </w:r>
      <w:r>
        <w:rPr>
          <w:rFonts w:ascii="Arial" w:hAnsi="Arial" w:cs="Arial" w:eastAsiaTheme="minorHAnsi"/>
          <w:sz w:val="22"/>
          <w:szCs w:val="22"/>
          <w:lang w:eastAsia="en-US"/>
        </w:rPr>
        <w:t xml:space="preserve">/dt). Thus, </w:t>
      </w:r>
      <w:r>
        <w:rPr>
          <w:rFonts w:ascii="Arial" w:hAnsi="Arial" w:cs="Arial" w:eastAsiaTheme="minorHAnsi"/>
          <w:sz w:val="22"/>
          <w:szCs w:val="22"/>
          <w:lang w:val="pt-BR" w:eastAsia="en-US"/>
        </w:rPr>
        <w:t>τ</w:t>
      </w:r>
      <w:r>
        <w:rPr>
          <w:rFonts w:ascii="Arial" w:hAnsi="Arial" w:cs="Arial" w:eastAsiaTheme="minorHAnsi"/>
          <w:sz w:val="22"/>
          <w:szCs w:val="22"/>
          <w:lang w:eastAsia="en-US"/>
        </w:rPr>
        <w:t xml:space="preserve"> = </w:t>
      </w:r>
      <w:r>
        <w:rPr>
          <w:rFonts w:ascii="Arial" w:hAnsi="Arial" w:cs="Arial" w:eastAsiaTheme="minorHAnsi"/>
          <w:sz w:val="22"/>
          <w:szCs w:val="22"/>
          <w:lang w:val="pt-BR" w:eastAsia="en-US"/>
        </w:rPr>
        <w:t>η</w:t>
      </w:r>
      <w:r>
        <w:rPr>
          <w:rFonts w:ascii="Arial" w:hAnsi="Arial" w:cs="Arial" w:eastAsiaTheme="minorHAnsi"/>
          <w:sz w:val="22"/>
          <w:szCs w:val="22"/>
          <w:lang w:eastAsia="en-US"/>
        </w:rPr>
        <w:t>d</w:t>
      </w:r>
      <w:r>
        <w:rPr>
          <w:rFonts w:ascii="Arial" w:hAnsi="Arial" w:cs="Arial" w:eastAsiaTheme="minorHAnsi"/>
          <w:sz w:val="22"/>
          <w:szCs w:val="22"/>
          <w:lang w:val="pt-BR" w:eastAsia="en-US"/>
        </w:rPr>
        <w:t>γ</w:t>
      </w:r>
      <w:r>
        <w:rPr>
          <w:rFonts w:ascii="Arial" w:hAnsi="Arial" w:cs="Arial" w:eastAsiaTheme="minorHAnsi"/>
          <w:sz w:val="22"/>
          <w:szCs w:val="22"/>
          <w:lang w:eastAsia="en-US"/>
        </w:rPr>
        <w:t xml:space="preserve">/dt, where </w:t>
      </w:r>
      <w:r>
        <w:rPr>
          <w:rFonts w:ascii="Arial" w:hAnsi="Arial" w:cs="Arial" w:eastAsiaTheme="minorHAnsi"/>
          <w:sz w:val="22"/>
          <w:szCs w:val="22"/>
          <w:lang w:val="pt-BR" w:eastAsia="en-US"/>
        </w:rPr>
        <w:t>η</w:t>
      </w:r>
      <w:r>
        <w:rPr>
          <w:rFonts w:ascii="Arial" w:hAnsi="Arial" w:cs="Arial" w:eastAsiaTheme="minorHAnsi"/>
          <w:sz w:val="22"/>
          <w:szCs w:val="22"/>
          <w:lang w:eastAsia="en-US"/>
        </w:rPr>
        <w:t xml:space="preserve"> is the coefficient of viscosity. A fluid is Newtonian if, when sheared, its viscosity does not depend on shear rate.</w:t>
      </w:r>
    </w:p>
    <w:p>
      <w:pPr>
        <w:autoSpaceDE w:val="0"/>
        <w:autoSpaceDN w:val="0"/>
        <w:adjustRightInd w:val="0"/>
        <w:spacing w:line="360" w:lineRule="auto"/>
        <w:jc w:val="both"/>
        <w:rPr>
          <w:rFonts w:ascii="Arial" w:hAnsi="Arial" w:cs="Arial" w:eastAsiaTheme="minorHAnsi"/>
          <w:sz w:val="22"/>
          <w:szCs w:val="22"/>
          <w:lang w:eastAsia="en-US"/>
        </w:rPr>
      </w:pPr>
      <w:r>
        <w:rPr>
          <w:rFonts w:ascii="Arial" w:hAnsi="Arial" w:cs="Arial" w:eastAsiaTheme="minorHAnsi"/>
          <w:b/>
          <w:sz w:val="22"/>
          <w:szCs w:val="22"/>
          <w:lang w:eastAsia="en-US"/>
        </w:rPr>
        <w:t>Ideal Solids.</w:t>
      </w:r>
      <w:r>
        <w:rPr>
          <w:rFonts w:ascii="Arial" w:hAnsi="Arial" w:cs="Arial" w:eastAsiaTheme="minorHAnsi"/>
          <w:sz w:val="22"/>
          <w:szCs w:val="22"/>
          <w:lang w:eastAsia="en-US"/>
        </w:rPr>
        <w:t xml:space="preserve"> follow Hooke’s law; the stress is proportional to the strain amplitude, and the stress and strain signals are in phase.</w:t>
      </w:r>
    </w:p>
    <w:p>
      <w:pPr>
        <w:autoSpaceDE w:val="0"/>
        <w:autoSpaceDN w:val="0"/>
        <w:adjustRightInd w:val="0"/>
        <w:spacing w:line="360" w:lineRule="auto"/>
        <w:jc w:val="both"/>
        <w:rPr>
          <w:rFonts w:ascii="Arial" w:hAnsi="Arial" w:cs="Arial" w:eastAsiaTheme="minorHAnsi"/>
          <w:sz w:val="22"/>
          <w:szCs w:val="22"/>
          <w:lang w:eastAsia="en-US"/>
        </w:rPr>
      </w:pPr>
      <w:r>
        <w:rPr>
          <w:rFonts w:ascii="Arial" w:hAnsi="Arial" w:cs="Arial" w:eastAsiaTheme="minorHAnsi"/>
          <w:b/>
          <w:sz w:val="22"/>
          <w:szCs w:val="22"/>
          <w:lang w:eastAsia="en-US"/>
        </w:rPr>
        <w:t>Ideal Fluids.</w:t>
      </w:r>
      <w:r>
        <w:rPr>
          <w:rFonts w:ascii="Arial" w:hAnsi="Arial" w:cs="Arial" w:eastAsiaTheme="minorHAnsi"/>
          <w:sz w:val="22"/>
          <w:szCs w:val="22"/>
          <w:lang w:eastAsia="en-US"/>
        </w:rPr>
        <w:t xml:space="preserve"> The stress is proportional to the strain rate (Newton’s Law). Here, the stress signal is out of phase with the strain signal, leading the strain signal by 90</w:t>
      </w:r>
      <w:r>
        <w:rPr>
          <w:rFonts w:ascii="Arial" w:hAnsi="Arial" w:cs="Arial" w:eastAsiaTheme="minorHAnsi"/>
          <w:sz w:val="22"/>
          <w:szCs w:val="22"/>
          <w:vertAlign w:val="superscript"/>
          <w:lang w:eastAsia="en-US"/>
        </w:rPr>
        <w:t>o</w:t>
      </w:r>
      <w:r>
        <w:rPr>
          <w:rFonts w:ascii="Arial" w:hAnsi="Arial" w:cs="Arial" w:eastAsiaTheme="minorHAnsi"/>
          <w:sz w:val="22"/>
          <w:szCs w:val="22"/>
          <w:lang w:eastAsia="en-US"/>
        </w:rPr>
        <w:t>.</w:t>
      </w:r>
    </w:p>
    <w:p>
      <w:pPr>
        <w:autoSpaceDE w:val="0"/>
        <w:autoSpaceDN w:val="0"/>
        <w:adjustRightInd w:val="0"/>
        <w:spacing w:line="360" w:lineRule="auto"/>
        <w:jc w:val="both"/>
        <w:rPr>
          <w:rFonts w:ascii="Arial" w:hAnsi="Arial" w:cs="Arial" w:eastAsiaTheme="minorHAnsi"/>
          <w:sz w:val="22"/>
          <w:szCs w:val="22"/>
          <w:lang w:eastAsia="en-US"/>
        </w:rPr>
      </w:pPr>
      <w:r>
        <w:rPr>
          <w:rFonts w:ascii="Arial" w:hAnsi="Arial" w:cs="Arial" w:eastAsiaTheme="minorHAnsi"/>
          <w:b/>
          <w:sz w:val="22"/>
          <w:szCs w:val="22"/>
          <w:lang w:eastAsia="en-US"/>
        </w:rPr>
        <w:t>Viscoelastic Materials.</w:t>
      </w:r>
      <w:r>
        <w:rPr>
          <w:rFonts w:ascii="Arial" w:hAnsi="Arial" w:cs="Arial" w:eastAsiaTheme="minorHAnsi"/>
          <w:sz w:val="22"/>
          <w:szCs w:val="22"/>
          <w:lang w:eastAsia="en-US"/>
        </w:rPr>
        <w:t xml:space="preserve"> The stress signal generated by a viscoelastic material can be separated into two components: an elastic stress in phase with the strain, and a viscous stress in phase with the strain rate (90° out of phase with the strain). The elastic stress measures the degree to which the material behaves as an ideal solid; the viscous stress, the degree to which the material behaves as an ideal fluid. This separation of the stress components vectorially allows the material's dependence on strain amplitude and strain rate to be measured simultaneously.</w:t>
      </w:r>
    </w:p>
    <w:p>
      <w:pPr>
        <w:autoSpaceDE w:val="0"/>
        <w:autoSpaceDN w:val="0"/>
        <w:adjustRightInd w:val="0"/>
        <w:spacing w:line="360" w:lineRule="auto"/>
        <w:jc w:val="both"/>
        <w:rPr>
          <w:rFonts w:ascii="Arial" w:hAnsi="Arial" w:cs="Arial" w:eastAsiaTheme="minorHAnsi"/>
          <w:sz w:val="22"/>
          <w:szCs w:val="22"/>
          <w:lang w:eastAsia="en-US"/>
        </w:rPr>
      </w:pPr>
      <w:r>
        <w:rPr>
          <w:rFonts w:ascii="Arial" w:hAnsi="Arial" w:cs="Arial" w:eastAsiaTheme="minorHAnsi"/>
          <w:b/>
          <w:sz w:val="22"/>
          <w:szCs w:val="22"/>
          <w:lang w:eastAsia="en-US"/>
        </w:rPr>
        <w:t>Modulus.</w:t>
      </w:r>
      <w:r>
        <w:rPr>
          <w:rFonts w:ascii="Arial" w:hAnsi="Arial" w:cs="Arial" w:eastAsiaTheme="minorHAnsi"/>
          <w:sz w:val="22"/>
          <w:szCs w:val="22"/>
          <w:lang w:eastAsia="en-US"/>
        </w:rPr>
        <w:t xml:space="preserve"> The elastic and viscous stresses ere related to material properties through the ratio of stress to strain, the modulus. The ratio of the elastic stress to strain is the elastic (or storage ) modulus G’; the ratio of the viscous stress to strain is the viscous (or loss) Modulus G”. When testing is done in tension or flexure rather then in shear, E’ and E” designate the elastic and viscous moduli.</w:t>
      </w:r>
    </w:p>
    <w:p>
      <w:pPr>
        <w:autoSpaceDE w:val="0"/>
        <w:autoSpaceDN w:val="0"/>
        <w:adjustRightInd w:val="0"/>
        <w:spacing w:line="360" w:lineRule="auto"/>
        <w:jc w:val="both"/>
        <w:rPr>
          <w:rFonts w:ascii="Arial" w:hAnsi="Arial" w:cs="Arial" w:eastAsiaTheme="minorHAnsi"/>
          <w:sz w:val="22"/>
          <w:szCs w:val="22"/>
          <w:lang w:eastAsia="en-US"/>
        </w:rPr>
      </w:pPr>
      <w:r>
        <w:rPr>
          <w:rFonts w:ascii="Arial" w:hAnsi="Arial" w:cs="Arial" w:eastAsiaTheme="minorHAnsi"/>
          <w:b/>
          <w:sz w:val="22"/>
          <w:szCs w:val="22"/>
          <w:lang w:eastAsia="en-US"/>
        </w:rPr>
        <w:t>Complex Modulus.</w:t>
      </w:r>
      <w:r>
        <w:rPr>
          <w:rFonts w:ascii="Arial" w:hAnsi="Arial" w:cs="Arial" w:eastAsiaTheme="minorHAnsi"/>
          <w:sz w:val="22"/>
          <w:szCs w:val="22"/>
          <w:lang w:eastAsia="en-US"/>
        </w:rPr>
        <w:t xml:space="preserve"> The complex modulus G* = G’ + G” reflects the contribution of both elastic and viscous components to the material’s stiffness.</w:t>
      </w:r>
    </w:p>
    <w:p>
      <w:pPr>
        <w:autoSpaceDE w:val="0"/>
        <w:autoSpaceDN w:val="0"/>
        <w:adjustRightInd w:val="0"/>
        <w:spacing w:line="360" w:lineRule="auto"/>
        <w:jc w:val="both"/>
        <w:rPr>
          <w:rFonts w:ascii="Arial" w:hAnsi="Arial" w:cs="Arial" w:eastAsiaTheme="minorHAnsi"/>
          <w:sz w:val="22"/>
          <w:szCs w:val="22"/>
          <w:lang w:eastAsia="en-US"/>
        </w:rPr>
      </w:pPr>
      <w:r>
        <w:rPr>
          <w:rFonts w:ascii="Arial" w:hAnsi="Arial" w:cs="Arial" w:eastAsiaTheme="minorHAnsi"/>
          <w:b/>
          <w:sz w:val="22"/>
          <w:szCs w:val="22"/>
          <w:lang w:eastAsia="en-US"/>
        </w:rPr>
        <w:t>Complex Viscosity.</w:t>
      </w:r>
      <w:r>
        <w:rPr>
          <w:rFonts w:ascii="Arial" w:hAnsi="Arial" w:cs="Arial" w:eastAsiaTheme="minorHAnsi"/>
          <w:sz w:val="22"/>
          <w:szCs w:val="22"/>
          <w:lang w:eastAsia="en-US"/>
        </w:rPr>
        <w:t xml:space="preserve"> The complex viscosity </w:t>
      </w:r>
      <w:r>
        <w:rPr>
          <w:rFonts w:ascii="Arial" w:hAnsi="Arial" w:cs="Arial" w:eastAsiaTheme="minorHAnsi"/>
          <w:sz w:val="22"/>
          <w:szCs w:val="22"/>
          <w:lang w:val="pt-BR" w:eastAsia="en-US"/>
        </w:rPr>
        <w:t>η</w:t>
      </w:r>
      <w:r>
        <w:rPr>
          <w:rFonts w:ascii="Arial" w:hAnsi="Arial" w:cs="Arial" w:eastAsiaTheme="minorHAnsi"/>
          <w:sz w:val="22"/>
          <w:szCs w:val="22"/>
          <w:lang w:eastAsia="en-US"/>
        </w:rPr>
        <w:t>* is a measure of the material’s overall resistance to flow as a function of shear rate.</w:t>
      </w:r>
    </w:p>
    <w:p>
      <w:pPr>
        <w:autoSpaceDE w:val="0"/>
        <w:autoSpaceDN w:val="0"/>
        <w:adjustRightInd w:val="0"/>
        <w:spacing w:line="360" w:lineRule="auto"/>
        <w:jc w:val="both"/>
        <w:rPr>
          <w:rFonts w:ascii="Arial" w:hAnsi="Arial" w:cs="Arial" w:eastAsiaTheme="minorHAnsi"/>
          <w:sz w:val="22"/>
          <w:szCs w:val="22"/>
          <w:lang w:eastAsia="en-US"/>
        </w:rPr>
      </w:pPr>
      <w:r>
        <w:rPr>
          <w:rFonts w:ascii="Arial" w:hAnsi="Arial" w:cs="Arial" w:eastAsiaTheme="minorHAnsi"/>
          <w:b/>
          <w:sz w:val="22"/>
          <w:szCs w:val="22"/>
          <w:lang w:eastAsia="en-US"/>
        </w:rPr>
        <w:t>Damping Factor.</w:t>
      </w:r>
      <w:r>
        <w:rPr>
          <w:rFonts w:ascii="Arial" w:hAnsi="Arial" w:cs="Arial" w:eastAsiaTheme="minorHAnsi"/>
          <w:sz w:val="22"/>
          <w:szCs w:val="22"/>
          <w:lang w:eastAsia="en-US"/>
        </w:rPr>
        <w:t xml:space="preserve"> The ratio of the viscous modulus to the elastic modulus is the tangent of the phase angle shift </w:t>
      </w:r>
      <w:r>
        <w:rPr>
          <w:rFonts w:ascii="Arial" w:hAnsi="Arial" w:cs="Arial" w:eastAsiaTheme="minorHAnsi"/>
          <w:sz w:val="22"/>
          <w:szCs w:val="22"/>
          <w:lang w:val="pt-BR" w:eastAsia="en-US"/>
        </w:rPr>
        <w:t>δ</w:t>
      </w:r>
      <w:r>
        <w:rPr>
          <w:rFonts w:ascii="Arial" w:hAnsi="Arial" w:cs="Arial" w:eastAsiaTheme="minorHAnsi"/>
          <w:sz w:val="22"/>
          <w:szCs w:val="22"/>
          <w:lang w:eastAsia="en-US"/>
        </w:rPr>
        <w:t xml:space="preserve"> between the stress and strain vectors. Thus, G”/G’= tan </w:t>
      </w:r>
      <w:r>
        <w:rPr>
          <w:rFonts w:ascii="Arial" w:hAnsi="Arial" w:cs="Arial" w:eastAsiaTheme="minorHAnsi"/>
          <w:sz w:val="22"/>
          <w:szCs w:val="22"/>
          <w:lang w:val="pt-BR" w:eastAsia="en-US"/>
        </w:rPr>
        <w:t>δ</w:t>
      </w:r>
      <w:r>
        <w:rPr>
          <w:rFonts w:ascii="Arial" w:hAnsi="Arial" w:cs="Arial" w:eastAsiaTheme="minorHAnsi"/>
          <w:sz w:val="22"/>
          <w:szCs w:val="22"/>
          <w:lang w:eastAsia="en-US"/>
        </w:rPr>
        <w:t>. This measures the damping ability of the material.</w:t>
      </w:r>
    </w:p>
    <w:p>
      <w:pPr>
        <w:autoSpaceDE w:val="0"/>
        <w:autoSpaceDN w:val="0"/>
        <w:adjustRightInd w:val="0"/>
        <w:spacing w:line="360" w:lineRule="auto"/>
        <w:jc w:val="both"/>
        <w:rPr>
          <w:rFonts w:ascii="Arial" w:hAnsi="Arial" w:cs="Arial" w:eastAsiaTheme="minorHAnsi"/>
          <w:sz w:val="22"/>
          <w:szCs w:val="22"/>
          <w:lang w:eastAsia="en-US"/>
        </w:rPr>
      </w:pPr>
      <w:r>
        <w:rPr>
          <w:rFonts w:ascii="Arial" w:hAnsi="Arial" w:cs="Arial" w:eastAsiaTheme="minorHAnsi"/>
          <w:b/>
          <w:sz w:val="22"/>
          <w:szCs w:val="22"/>
          <w:lang w:eastAsia="en-US"/>
        </w:rPr>
        <w:t>Glass Transition.</w:t>
      </w:r>
      <w:r>
        <w:rPr>
          <w:rFonts w:ascii="Arial" w:hAnsi="Arial" w:cs="Arial" w:eastAsiaTheme="minorHAnsi"/>
          <w:sz w:val="22"/>
          <w:szCs w:val="22"/>
          <w:lang w:eastAsia="en-US"/>
        </w:rPr>
        <w:t xml:space="preserve"> During measurement of the moduli (G’, G”) and damping behavior (tan </w:t>
      </w:r>
      <w:r>
        <w:rPr>
          <w:rFonts w:ascii="Arial" w:hAnsi="Arial" w:cs="Arial" w:eastAsiaTheme="minorHAnsi"/>
          <w:sz w:val="22"/>
          <w:szCs w:val="22"/>
          <w:lang w:val="pt-BR" w:eastAsia="en-US"/>
        </w:rPr>
        <w:t>δ</w:t>
      </w:r>
      <w:r>
        <w:rPr>
          <w:rFonts w:ascii="Arial" w:hAnsi="Arial" w:cs="Arial" w:eastAsiaTheme="minorHAnsi"/>
          <w:sz w:val="22"/>
          <w:szCs w:val="22"/>
          <w:lang w:eastAsia="en-US"/>
        </w:rPr>
        <w:t xml:space="preserve">) of a polymer at a chosen oscillatory frequency over a sufficiently wide range of temperature, the effect of the polymer’s Tg can be clearly observed. The Tg (sometimes called the </w:t>
      </w:r>
      <w:r>
        <w:rPr>
          <w:rFonts w:ascii="Arial" w:hAnsi="Arial" w:cs="Arial" w:eastAsiaTheme="minorHAnsi"/>
          <w:sz w:val="22"/>
          <w:szCs w:val="22"/>
          <w:lang w:val="pt-BR" w:eastAsia="en-US"/>
        </w:rPr>
        <w:t>α</w:t>
      </w:r>
      <w:r>
        <w:rPr>
          <w:rFonts w:ascii="Arial" w:hAnsi="Arial" w:cs="Arial" w:eastAsiaTheme="minorHAnsi"/>
          <w:sz w:val="22"/>
          <w:szCs w:val="22"/>
          <w:lang w:eastAsia="en-US"/>
        </w:rPr>
        <w:t xml:space="preserve"> transition) is a reversible change of the polymer between rubbery and glassy states, and the temperature at which this occurs, called the glass transition temperature Tg, can be measured accurately by DMRT, which is considered the most sensitive method for measuring a material’s glass transition temperature.</w:t>
      </w:r>
    </w:p>
    <w:p>
      <w:pPr>
        <w:autoSpaceDE w:val="0"/>
        <w:autoSpaceDN w:val="0"/>
        <w:adjustRightInd w:val="0"/>
        <w:spacing w:line="360" w:lineRule="auto"/>
        <w:jc w:val="both"/>
        <w:rPr>
          <w:rFonts w:ascii="Arial" w:hAnsi="Arial" w:cs="Arial" w:eastAsiaTheme="minorHAnsi"/>
          <w:sz w:val="22"/>
          <w:szCs w:val="22"/>
          <w:lang w:eastAsia="en-US"/>
        </w:rPr>
      </w:pPr>
      <w:r>
        <w:rPr>
          <w:rFonts w:ascii="Arial" w:hAnsi="Arial" w:cs="Arial" w:eastAsiaTheme="minorHAnsi"/>
          <w:sz w:val="22"/>
          <w:szCs w:val="22"/>
          <w:lang w:eastAsia="en-US"/>
        </w:rPr>
        <w:t xml:space="preserve">The Tg is detected as a sudden and considerable (several decades) change in the elastic modulus and an attendant peak in the tan </w:t>
      </w:r>
      <w:r>
        <w:rPr>
          <w:rFonts w:ascii="Arial" w:hAnsi="Arial" w:cs="Arial" w:eastAsiaTheme="minorHAnsi"/>
          <w:sz w:val="22"/>
          <w:szCs w:val="22"/>
          <w:lang w:val="pt-BR" w:eastAsia="en-US"/>
        </w:rPr>
        <w:t>δ</w:t>
      </w:r>
      <w:r>
        <w:rPr>
          <w:rFonts w:ascii="Arial" w:hAnsi="Arial" w:cs="Arial" w:eastAsiaTheme="minorHAnsi"/>
          <w:sz w:val="22"/>
          <w:szCs w:val="22"/>
          <w:lang w:eastAsia="en-US"/>
        </w:rPr>
        <w:t xml:space="preserve"> curve. This underscores the importance of the glass transition as a material property, for it shows clearly the substantial change in rigidity that the material experiences in a short span of temperatures. Accordingly, the glass transition temperature is a key factor in deciding the usefulness of a polymer. But merely knowing the temperature at which the Tg occurs (all that DSC and TGA provide) is not enough. Besides being a more accurate measure of Tg, DMRT tells much more about the material before and after the Tg. DMRT also measures the rubbery plateau modulus which is much more sensitive than is Tg for detecting, for example, small differences in a thermoset polymer cure level&lt;&lt;&lt;</w:t>
      </w:r>
    </w:p>
    <w:p>
      <w:pPr>
        <w:autoSpaceDE w:val="0"/>
        <w:autoSpaceDN w:val="0"/>
        <w:adjustRightInd w:val="0"/>
        <w:spacing w:line="360" w:lineRule="auto"/>
        <w:jc w:val="center"/>
        <w:rPr>
          <w:rFonts w:ascii="Arial" w:hAnsi="Arial" w:cs="Arial"/>
          <w:sz w:val="22"/>
          <w:szCs w:val="22"/>
        </w:rPr>
      </w:pPr>
      <w:r>
        <w:rPr>
          <w:rFonts w:ascii="Arial" w:hAnsi="Arial" w:cs="Arial" w:eastAsiaTheme="minorHAnsi"/>
          <w:sz w:val="22"/>
          <w:szCs w:val="22"/>
          <w:lang w:val="pt-BR"/>
        </w:rPr>
        <w:drawing>
          <wp:inline distT="0" distB="0" distL="0" distR="0">
            <wp:extent cx="3045460" cy="1636395"/>
            <wp:effectExtent l="19050" t="0" r="2424"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noChangeArrowheads="1"/>
                    </pic:cNvPicPr>
                  </pic:nvPicPr>
                  <pic:blipFill>
                    <a:blip r:embed="rId18"/>
                    <a:srcRect/>
                    <a:stretch>
                      <a:fillRect/>
                    </a:stretch>
                  </pic:blipFill>
                  <pic:spPr>
                    <a:xfrm>
                      <a:off x="0" y="0"/>
                      <a:ext cx="3048478" cy="1638396"/>
                    </a:xfrm>
                    <a:prstGeom prst="rect">
                      <a:avLst/>
                    </a:prstGeom>
                    <a:noFill/>
                    <a:ln w="9525">
                      <a:noFill/>
                      <a:miter lim="800000"/>
                      <a:headEnd/>
                      <a:tailEnd/>
                    </a:ln>
                  </pic:spPr>
                </pic:pic>
              </a:graphicData>
            </a:graphic>
          </wp:inline>
        </w:drawing>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lang w:val="pt-BR"/>
        </w:rPr>
        <w:drawing>
          <wp:inline distT="0" distB="0" distL="0" distR="0">
            <wp:extent cx="4307840" cy="3352800"/>
            <wp:effectExtent l="19050" t="0" r="0" b="0"/>
            <wp:docPr id="2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7"/>
                    <pic:cNvPicPr>
                      <a:picLocks noChangeAspect="1" noChangeArrowheads="1"/>
                    </pic:cNvPicPr>
                  </pic:nvPicPr>
                  <pic:blipFill>
                    <a:blip r:embed="rId19"/>
                    <a:srcRect/>
                    <a:stretch>
                      <a:fillRect/>
                    </a:stretch>
                  </pic:blipFill>
                  <pic:spPr>
                    <a:xfrm>
                      <a:off x="0" y="0"/>
                      <a:ext cx="4315853" cy="3358749"/>
                    </a:xfrm>
                    <a:prstGeom prst="rect">
                      <a:avLst/>
                    </a:prstGeom>
                    <a:noFill/>
                    <a:ln w="9525">
                      <a:noFill/>
                      <a:miter lim="800000"/>
                      <a:headEnd/>
                      <a:tailEnd/>
                    </a:ln>
                  </pic:spPr>
                </pic:pic>
              </a:graphicData>
            </a:graphic>
          </wp:inline>
        </w:drawing>
      </w:r>
    </w:p>
    <w:p>
      <w:pPr>
        <w:spacing w:line="360" w:lineRule="auto"/>
        <w:jc w:val="center"/>
        <w:rPr>
          <w:rFonts w:ascii="Arial" w:hAnsi="Arial" w:cs="Arial"/>
          <w:sz w:val="22"/>
          <w:szCs w:val="22"/>
        </w:rPr>
      </w:pPr>
      <w:r>
        <w:rPr>
          <w:rFonts w:ascii="Arial" w:hAnsi="Arial" w:cs="Arial"/>
          <w:sz w:val="22"/>
          <w:szCs w:val="22"/>
          <w:lang w:val="pt-BR"/>
        </w:rPr>
        <w:drawing>
          <wp:inline distT="0" distB="0" distL="0" distR="0">
            <wp:extent cx="3472180" cy="1814195"/>
            <wp:effectExtent l="19050" t="0" r="0" b="0"/>
            <wp:docPr id="1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2"/>
                    <pic:cNvPicPr>
                      <a:picLocks noChangeAspect="1" noChangeArrowheads="1"/>
                    </pic:cNvPicPr>
                  </pic:nvPicPr>
                  <pic:blipFill>
                    <a:blip r:embed="rId20"/>
                    <a:srcRect/>
                    <a:stretch>
                      <a:fillRect/>
                    </a:stretch>
                  </pic:blipFill>
                  <pic:spPr>
                    <a:xfrm>
                      <a:off x="0" y="0"/>
                      <a:ext cx="3475664" cy="1816342"/>
                    </a:xfrm>
                    <a:prstGeom prst="rect">
                      <a:avLst/>
                    </a:prstGeom>
                    <a:noFill/>
                    <a:ln w="9525">
                      <a:noFill/>
                      <a:miter lim="800000"/>
                      <a:headEnd/>
                      <a:tailEnd/>
                    </a:ln>
                  </pic:spPr>
                </pic:pic>
              </a:graphicData>
            </a:graphic>
          </wp:inline>
        </w:drawing>
      </w:r>
      <w:r>
        <w:rPr>
          <w:rFonts w:ascii="Arial" w:hAnsi="Arial" w:cs="Arial"/>
          <w:sz w:val="22"/>
          <w:szCs w:val="22"/>
        </w:rPr>
        <w:t xml:space="preserve">   </w:t>
      </w:r>
      <w:r>
        <w:rPr>
          <w:rFonts w:ascii="Arial" w:hAnsi="Arial" w:cs="Arial"/>
          <w:sz w:val="22"/>
          <w:szCs w:val="22"/>
          <w:lang w:val="pt-BR"/>
        </w:rPr>
        <w:drawing>
          <wp:inline distT="0" distB="0" distL="0" distR="0">
            <wp:extent cx="3384550" cy="2172335"/>
            <wp:effectExtent l="19050" t="0" r="5870" b="0"/>
            <wp:docPr id="1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3"/>
                    <pic:cNvPicPr>
                      <a:picLocks noChangeAspect="1" noChangeArrowheads="1"/>
                    </pic:cNvPicPr>
                  </pic:nvPicPr>
                  <pic:blipFill>
                    <a:blip r:embed="rId21"/>
                    <a:srcRect/>
                    <a:stretch>
                      <a:fillRect/>
                    </a:stretch>
                  </pic:blipFill>
                  <pic:spPr>
                    <a:xfrm>
                      <a:off x="0" y="0"/>
                      <a:ext cx="3389163" cy="2175045"/>
                    </a:xfrm>
                    <a:prstGeom prst="rect">
                      <a:avLst/>
                    </a:prstGeom>
                    <a:noFill/>
                    <a:ln w="9525">
                      <a:noFill/>
                      <a:miter lim="800000"/>
                      <a:headEnd/>
                      <a:tailEnd/>
                    </a:ln>
                  </pic:spPr>
                </pic:pic>
              </a:graphicData>
            </a:graphic>
          </wp:inline>
        </w:drawing>
      </w:r>
    </w:p>
    <w:p>
      <w:pPr>
        <w:spacing w:line="360" w:lineRule="auto"/>
        <w:jc w:val="center"/>
        <w:rPr>
          <w:rFonts w:ascii="Arial" w:hAnsi="Arial" w:cs="Arial"/>
          <w:sz w:val="22"/>
          <w:szCs w:val="22"/>
        </w:rPr>
      </w:pPr>
    </w:p>
    <w:p>
      <w:pPr>
        <w:spacing w:line="360" w:lineRule="auto"/>
        <w:jc w:val="center"/>
        <w:rPr>
          <w:rFonts w:ascii="Arial" w:hAnsi="Arial" w:cs="Arial"/>
          <w:sz w:val="22"/>
          <w:szCs w:val="22"/>
        </w:rPr>
      </w:pPr>
      <w:r>
        <w:rPr>
          <w:rFonts w:ascii="Arial" w:hAnsi="Arial" w:cs="Arial"/>
          <w:sz w:val="22"/>
          <w:szCs w:val="22"/>
          <w:lang w:val="pt-BR"/>
        </w:rPr>
        <w:drawing>
          <wp:inline distT="0" distB="0" distL="0" distR="0">
            <wp:extent cx="3903980" cy="2680335"/>
            <wp:effectExtent l="19050" t="0" r="776" b="0"/>
            <wp:docPr id="1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4"/>
                    <pic:cNvPicPr>
                      <a:picLocks noChangeAspect="1" noChangeArrowheads="1"/>
                    </pic:cNvPicPr>
                  </pic:nvPicPr>
                  <pic:blipFill>
                    <a:blip r:embed="rId22"/>
                    <a:srcRect/>
                    <a:stretch>
                      <a:fillRect/>
                    </a:stretch>
                  </pic:blipFill>
                  <pic:spPr>
                    <a:xfrm>
                      <a:off x="0" y="0"/>
                      <a:ext cx="3906398" cy="2681854"/>
                    </a:xfrm>
                    <a:prstGeom prst="rect">
                      <a:avLst/>
                    </a:prstGeom>
                    <a:noFill/>
                    <a:ln w="9525">
                      <a:noFill/>
                      <a:miter lim="800000"/>
                      <a:headEnd/>
                      <a:tailEnd/>
                    </a:ln>
                  </pic:spPr>
                </pic:pic>
              </a:graphicData>
            </a:graphic>
          </wp:inline>
        </w:drawing>
      </w:r>
    </w:p>
    <w:p>
      <w:pPr>
        <w:spacing w:line="360" w:lineRule="auto"/>
        <w:jc w:val="center"/>
        <w:rPr>
          <w:rFonts w:ascii="Arial" w:hAnsi="Arial" w:cs="Arial"/>
          <w:sz w:val="22"/>
          <w:szCs w:val="22"/>
        </w:rPr>
      </w:pPr>
      <w:r>
        <w:rPr>
          <w:rFonts w:ascii="Arial" w:hAnsi="Arial" w:cs="Arial"/>
          <w:sz w:val="22"/>
          <w:szCs w:val="22"/>
          <w:lang w:val="pt-BR"/>
        </w:rPr>
        <w:drawing>
          <wp:inline distT="0" distB="0" distL="0" distR="0">
            <wp:extent cx="6412865" cy="4760595"/>
            <wp:effectExtent l="19050" t="0" r="6882" b="0"/>
            <wp:docPr id="2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6"/>
                    <pic:cNvPicPr>
                      <a:picLocks noChangeAspect="1" noChangeArrowheads="1"/>
                    </pic:cNvPicPr>
                  </pic:nvPicPr>
                  <pic:blipFill>
                    <a:blip r:embed="rId23"/>
                    <a:srcRect/>
                    <a:stretch>
                      <a:fillRect/>
                    </a:stretch>
                  </pic:blipFill>
                  <pic:spPr>
                    <a:xfrm>
                      <a:off x="0" y="0"/>
                      <a:ext cx="6412842" cy="4760592"/>
                    </a:xfrm>
                    <a:prstGeom prst="rect">
                      <a:avLst/>
                    </a:prstGeom>
                    <a:noFill/>
                    <a:ln w="9525">
                      <a:noFill/>
                      <a:miter lim="800000"/>
                      <a:headEnd/>
                      <a:tailEnd/>
                    </a:ln>
                  </pic:spPr>
                </pic:pic>
              </a:graphicData>
            </a:graphic>
          </wp:inline>
        </w:drawing>
      </w:r>
    </w:p>
    <w:p>
      <w:pPr>
        <w:spacing w:line="360" w:lineRule="auto"/>
        <w:jc w:val="both"/>
        <w:rPr>
          <w:rFonts w:ascii="Arial" w:hAnsi="Arial" w:cs="Arial"/>
          <w:sz w:val="22"/>
          <w:szCs w:val="22"/>
        </w:rPr>
      </w:pPr>
    </w:p>
    <w:p>
      <w:pPr>
        <w:rPr>
          <w:rFonts w:ascii="Arial" w:hAnsi="Arial" w:cs="Arial"/>
          <w:color w:val="FF0000"/>
          <w:sz w:val="22"/>
          <w:szCs w:val="22"/>
          <w:lang w:val="pt-BR"/>
        </w:rPr>
      </w:pPr>
      <w:r>
        <w:rPr>
          <w:rFonts w:ascii="Arial" w:hAnsi="Arial" w:cs="Arial"/>
          <w:color w:val="FF0000"/>
          <w:sz w:val="22"/>
          <w:szCs w:val="22"/>
          <w:lang w:val="pt-BR"/>
        </w:rPr>
        <w:br w:type="page"/>
      </w:r>
    </w:p>
    <w:p>
      <w:pPr>
        <w:spacing w:line="360" w:lineRule="auto"/>
        <w:jc w:val="center"/>
        <w:rPr>
          <w:rFonts w:ascii="Arial" w:hAnsi="Arial" w:cs="Arial"/>
          <w:color w:val="FF0000"/>
          <w:sz w:val="22"/>
          <w:szCs w:val="22"/>
          <w:lang w:val="pt-BR"/>
        </w:rPr>
      </w:pPr>
      <w:r>
        <w:rPr>
          <w:rFonts w:ascii="Arial" w:hAnsi="Arial" w:cs="Arial"/>
          <w:color w:val="FF0000"/>
          <w:sz w:val="22"/>
          <w:szCs w:val="22"/>
          <w:lang w:val="pt-BR"/>
        </w:rPr>
        <w:t>Exemplos</w:t>
      </w:r>
    </w:p>
    <w:p>
      <w:pPr>
        <w:spacing w:line="360" w:lineRule="auto"/>
        <w:jc w:val="both"/>
        <w:rPr>
          <w:rFonts w:ascii="Arial" w:hAnsi="Arial" w:cs="Arial"/>
          <w:sz w:val="22"/>
          <w:szCs w:val="22"/>
          <w:lang w:val="pt-BR"/>
        </w:rPr>
      </w:pPr>
      <w:r>
        <w:rPr>
          <w:rFonts w:ascii="Arial" w:hAnsi="Arial" w:cs="Arial"/>
          <w:sz w:val="22"/>
          <w:szCs w:val="22"/>
          <w:lang w:val="pt-BR"/>
        </w:rPr>
        <w:drawing>
          <wp:inline distT="0" distB="0" distL="0" distR="0">
            <wp:extent cx="6212205" cy="4513580"/>
            <wp:effectExtent l="19050" t="0" r="0" b="0"/>
            <wp:docPr id="2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8"/>
                    <pic:cNvPicPr>
                      <a:picLocks noChangeAspect="1" noChangeArrowheads="1"/>
                    </pic:cNvPicPr>
                  </pic:nvPicPr>
                  <pic:blipFill>
                    <a:blip r:embed="rId24"/>
                    <a:srcRect/>
                    <a:stretch>
                      <a:fillRect/>
                    </a:stretch>
                  </pic:blipFill>
                  <pic:spPr>
                    <a:xfrm>
                      <a:off x="0" y="0"/>
                      <a:ext cx="6224933" cy="4522827"/>
                    </a:xfrm>
                    <a:prstGeom prst="rect">
                      <a:avLst/>
                    </a:prstGeom>
                    <a:noFill/>
                    <a:ln w="9525">
                      <a:noFill/>
                      <a:miter lim="800000"/>
                      <a:headEnd/>
                      <a:tailEnd/>
                    </a:ln>
                  </pic:spPr>
                </pic:pic>
              </a:graphicData>
            </a:graphic>
          </wp:inline>
        </w:drawing>
      </w:r>
      <w:r>
        <w:rPr>
          <w:rFonts w:ascii="Arial" w:hAnsi="Arial" w:cs="Arial"/>
          <w:sz w:val="22"/>
          <w:szCs w:val="22"/>
          <w:lang w:val="pt-BR"/>
        </w:rPr>
        <w:t>Menard, p. 96.</w:t>
      </w:r>
    </w:p>
    <w:p>
      <w:pPr>
        <w:spacing w:line="360" w:lineRule="auto"/>
        <w:jc w:val="both"/>
        <w:rPr>
          <w:rFonts w:ascii="Arial" w:hAnsi="Arial" w:cs="Arial"/>
          <w:sz w:val="22"/>
          <w:szCs w:val="22"/>
          <w:lang w:val="pt-BR"/>
        </w:rPr>
      </w:pPr>
      <w:r>
        <w:rPr>
          <w:rFonts w:ascii="Arial" w:hAnsi="Arial" w:cs="Arial"/>
          <w:sz w:val="22"/>
          <w:szCs w:val="22"/>
          <w:lang w:val="pt-BR"/>
        </w:rPr>
        <w:drawing>
          <wp:inline distT="0" distB="0" distL="0" distR="0">
            <wp:extent cx="4363720" cy="4923790"/>
            <wp:effectExtent l="19050" t="0" r="0" b="0"/>
            <wp:docPr id="24" name="Imagem 10" descr="http://www.scielo.br/img/revistas/qn/v28n2/23648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10" descr="http://www.scielo.br/img/revistas/qn/v28n2/23648f4.gif"/>
                    <pic:cNvPicPr>
                      <a:picLocks noChangeAspect="1" noChangeArrowheads="1"/>
                    </pic:cNvPicPr>
                  </pic:nvPicPr>
                  <pic:blipFill>
                    <a:blip r:embed="rId25"/>
                    <a:srcRect/>
                    <a:stretch>
                      <a:fillRect/>
                    </a:stretch>
                  </pic:blipFill>
                  <pic:spPr>
                    <a:xfrm>
                      <a:off x="0" y="0"/>
                      <a:ext cx="4369727" cy="4930406"/>
                    </a:xfrm>
                    <a:prstGeom prst="rect">
                      <a:avLst/>
                    </a:prstGeom>
                    <a:noFill/>
                    <a:ln w="9525">
                      <a:noFill/>
                      <a:miter lim="800000"/>
                      <a:headEnd/>
                      <a:tailEnd/>
                    </a:ln>
                  </pic:spPr>
                </pic:pic>
              </a:graphicData>
            </a:graphic>
          </wp:inline>
        </w:drawing>
      </w:r>
    </w:p>
    <w:p>
      <w:pPr>
        <w:spacing w:line="360" w:lineRule="auto"/>
        <w:jc w:val="both"/>
        <w:rPr>
          <w:rFonts w:ascii="Arial" w:hAnsi="Arial" w:cs="Arial"/>
          <w:sz w:val="22"/>
          <w:szCs w:val="22"/>
          <w:lang w:val="pt-BR"/>
        </w:rPr>
      </w:pPr>
    </w:p>
    <w:p>
      <w:pPr>
        <w:spacing w:line="360" w:lineRule="auto"/>
        <w:jc w:val="both"/>
        <w:rPr>
          <w:rFonts w:ascii="Arial" w:hAnsi="Arial" w:cs="Arial"/>
          <w:sz w:val="22"/>
          <w:szCs w:val="22"/>
          <w:lang w:val="pt-BR"/>
        </w:rPr>
      </w:pPr>
    </w:p>
    <w:p>
      <w:pPr>
        <w:spacing w:line="360" w:lineRule="auto"/>
        <w:jc w:val="both"/>
        <w:rPr>
          <w:rFonts w:ascii="Arial" w:hAnsi="Arial" w:cs="Arial"/>
          <w:sz w:val="22"/>
          <w:szCs w:val="22"/>
          <w:lang w:val="pt-BR"/>
        </w:rPr>
      </w:pPr>
      <w:r>
        <w:rPr>
          <w:rFonts w:ascii="Arial" w:hAnsi="Arial" w:cs="Arial"/>
          <w:sz w:val="22"/>
          <w:szCs w:val="22"/>
          <w:lang w:val="pt-BR"/>
        </w:rPr>
        <w:drawing>
          <wp:inline distT="0" distB="0" distL="0" distR="0">
            <wp:extent cx="6289040" cy="3889375"/>
            <wp:effectExtent l="19050" t="0" r="0" b="0"/>
            <wp:docPr id="2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5"/>
                    <pic:cNvPicPr>
                      <a:picLocks noChangeAspect="1" noChangeArrowheads="1"/>
                    </pic:cNvPicPr>
                  </pic:nvPicPr>
                  <pic:blipFill>
                    <a:blip r:embed="rId26"/>
                    <a:srcRect/>
                    <a:stretch>
                      <a:fillRect/>
                    </a:stretch>
                  </pic:blipFill>
                  <pic:spPr>
                    <a:xfrm>
                      <a:off x="0" y="0"/>
                      <a:ext cx="6297023" cy="3894485"/>
                    </a:xfrm>
                    <a:prstGeom prst="rect">
                      <a:avLst/>
                    </a:prstGeom>
                    <a:noFill/>
                    <a:ln w="9525">
                      <a:noFill/>
                      <a:miter lim="800000"/>
                      <a:headEnd/>
                      <a:tailEnd/>
                    </a:ln>
                  </pic:spPr>
                </pic:pic>
              </a:graphicData>
            </a:graphic>
          </wp:inline>
        </w:drawing>
      </w:r>
    </w:p>
    <w:p>
      <w:pPr>
        <w:spacing w:line="360" w:lineRule="auto"/>
        <w:jc w:val="both"/>
        <w:rPr>
          <w:rFonts w:ascii="Arial" w:hAnsi="Arial" w:cs="Arial"/>
          <w:sz w:val="22"/>
          <w:szCs w:val="22"/>
          <w:lang w:val="pt-BR"/>
        </w:rPr>
      </w:pPr>
    </w:p>
    <w:p>
      <w:pPr>
        <w:spacing w:line="360" w:lineRule="auto"/>
        <w:jc w:val="both"/>
        <w:rPr>
          <w:rFonts w:ascii="Arial" w:hAnsi="Arial" w:cs="Arial"/>
          <w:sz w:val="22"/>
          <w:szCs w:val="22"/>
          <w:lang w:val="pt-BR"/>
        </w:rPr>
      </w:pPr>
      <w:r>
        <w:rPr>
          <w:rFonts w:ascii="Arial" w:hAnsi="Arial" w:cs="Arial"/>
          <w:sz w:val="22"/>
          <w:szCs w:val="22"/>
          <w:lang w:val="pt-BR"/>
        </w:rPr>
        <w:t>(site TA Instruments)</w:t>
      </w:r>
      <w:r>
        <w:rPr>
          <w:rFonts w:ascii="Arial" w:hAnsi="Arial" w:cs="Arial"/>
          <w:sz w:val="22"/>
          <w:szCs w:val="22"/>
          <w:lang w:val="pt-BR"/>
        </w:rPr>
        <w:drawing>
          <wp:inline distT="0" distB="0" distL="0" distR="0">
            <wp:extent cx="5198110" cy="3040380"/>
            <wp:effectExtent l="0" t="0" r="2540" b="7620"/>
            <wp:docPr id="2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9"/>
                    <pic:cNvPicPr>
                      <a:picLocks noChangeAspect="1" noChangeArrowheads="1"/>
                    </pic:cNvPicPr>
                  </pic:nvPicPr>
                  <pic:blipFill>
                    <a:blip r:embed="rId27"/>
                    <a:srcRect/>
                    <a:stretch>
                      <a:fillRect/>
                    </a:stretch>
                  </pic:blipFill>
                  <pic:spPr>
                    <a:xfrm>
                      <a:off x="0" y="0"/>
                      <a:ext cx="5198110" cy="3040380"/>
                    </a:xfrm>
                    <a:prstGeom prst="rect">
                      <a:avLst/>
                    </a:prstGeom>
                    <a:noFill/>
                    <a:ln w="9525">
                      <a:noFill/>
                      <a:miter lim="800000"/>
                      <a:headEnd/>
                      <a:tailEnd/>
                    </a:ln>
                  </pic:spPr>
                </pic:pic>
              </a:graphicData>
            </a:graphic>
          </wp:inline>
        </w:drawing>
      </w:r>
    </w:p>
    <w:p>
      <w:pPr>
        <w:spacing w:line="360" w:lineRule="auto"/>
        <w:jc w:val="both"/>
        <w:rPr>
          <w:rFonts w:ascii="Arial" w:hAnsi="Arial" w:cs="Arial"/>
          <w:sz w:val="22"/>
          <w:szCs w:val="22"/>
          <w:lang w:val="pt-BR"/>
        </w:rPr>
      </w:pPr>
      <w:r>
        <w:rPr>
          <w:rFonts w:ascii="Arial" w:hAnsi="Arial" w:cs="Arial"/>
          <w:sz w:val="22"/>
          <w:szCs w:val="22"/>
          <w:lang w:val="pt-BR"/>
        </w:rPr>
        <w:drawing>
          <wp:inline distT="0" distB="0" distL="0" distR="0">
            <wp:extent cx="5400040" cy="1983740"/>
            <wp:effectExtent l="19050" t="0" r="0" b="0"/>
            <wp:docPr id="26" name="Imagem 16" descr="http://www.scielo.br/img/revistas/qn/v28n2/23648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16" descr="http://www.scielo.br/img/revistas/qn/v28n2/23648f5.gif"/>
                    <pic:cNvPicPr>
                      <a:picLocks noChangeAspect="1" noChangeArrowheads="1"/>
                    </pic:cNvPicPr>
                  </pic:nvPicPr>
                  <pic:blipFill>
                    <a:blip r:embed="rId28"/>
                    <a:srcRect/>
                    <a:stretch>
                      <a:fillRect/>
                    </a:stretch>
                  </pic:blipFill>
                  <pic:spPr>
                    <a:xfrm>
                      <a:off x="0" y="0"/>
                      <a:ext cx="5400040" cy="1984165"/>
                    </a:xfrm>
                    <a:prstGeom prst="rect">
                      <a:avLst/>
                    </a:prstGeom>
                    <a:noFill/>
                    <a:ln w="9525">
                      <a:noFill/>
                      <a:miter lim="800000"/>
                      <a:headEnd/>
                      <a:tailEnd/>
                    </a:ln>
                  </pic:spPr>
                </pic:pic>
              </a:graphicData>
            </a:graphic>
          </wp:inline>
        </w:drawing>
      </w:r>
    </w:p>
    <w:p>
      <w:pPr>
        <w:spacing w:line="360" w:lineRule="auto"/>
        <w:jc w:val="both"/>
        <w:rPr>
          <w:rFonts w:ascii="Arial" w:hAnsi="Arial" w:cs="Arial"/>
          <w:sz w:val="22"/>
          <w:szCs w:val="22"/>
          <w:lang w:val="pt-BR"/>
        </w:rPr>
      </w:pPr>
      <w:r>
        <w:rPr>
          <w:rFonts w:ascii="Arial" w:hAnsi="Arial" w:cs="Arial"/>
          <w:sz w:val="22"/>
          <w:szCs w:val="22"/>
          <w:lang w:val="pt-BR"/>
        </w:rPr>
        <w:t>(artigo Felisberti)</w:t>
      </w:r>
    </w:p>
    <w:p>
      <w:pPr>
        <w:rPr>
          <w:rFonts w:ascii="Arial" w:hAnsi="Arial" w:cs="Arial"/>
          <w:sz w:val="22"/>
          <w:szCs w:val="22"/>
          <w:lang w:val="pt-BR"/>
        </w:rPr>
      </w:pPr>
      <w:r>
        <w:rPr>
          <w:rFonts w:ascii="Arial" w:hAnsi="Arial" w:cs="Arial"/>
          <w:sz w:val="22"/>
          <w:szCs w:val="22"/>
          <w:lang w:val="pt-BR"/>
        </w:rPr>
        <w:t xml:space="preserve">Observação: Este é um texto de aula, que serve apenas como apoio, para se ter uma sequência de tópicos; é uma compilação dos textos consultados, livros, sites na internet e artigos. Não é uma versão final e pode conter trechos de outros autores com modificações; algumas figuras não contêm ainda a fonte e/ou contêm a fonte incompleta (somente uma indicação). </w:t>
      </w:r>
    </w:p>
    <w:p>
      <w:pPr>
        <w:spacing w:line="360" w:lineRule="auto"/>
        <w:jc w:val="both"/>
        <w:rPr>
          <w:rFonts w:ascii="Arial" w:hAnsi="Arial" w:cs="Arial"/>
          <w:b/>
          <w:sz w:val="22"/>
          <w:szCs w:val="22"/>
        </w:rPr>
      </w:pPr>
    </w:p>
    <w:p>
      <w:pPr>
        <w:spacing w:line="360" w:lineRule="auto"/>
        <w:jc w:val="both"/>
        <w:rPr>
          <w:rFonts w:ascii="Arial" w:hAnsi="Arial" w:cs="Arial"/>
          <w:b/>
          <w:sz w:val="22"/>
          <w:szCs w:val="22"/>
        </w:rPr>
      </w:pPr>
      <w:r>
        <w:rPr>
          <w:rFonts w:ascii="Arial" w:hAnsi="Arial" w:cs="Arial"/>
          <w:b/>
          <w:sz w:val="22"/>
          <w:szCs w:val="22"/>
        </w:rPr>
        <w:t>Fontes (sugestões de estudo)</w:t>
      </w:r>
    </w:p>
    <w:p>
      <w:pPr>
        <w:spacing w:line="360" w:lineRule="auto"/>
        <w:jc w:val="both"/>
        <w:rPr>
          <w:rFonts w:ascii="Arial" w:hAnsi="Arial" w:cs="Arial"/>
          <w:sz w:val="22"/>
          <w:szCs w:val="22"/>
        </w:rPr>
      </w:pPr>
      <w:r>
        <w:rPr>
          <w:rFonts w:ascii="Arial" w:hAnsi="Arial" w:cs="Arial"/>
          <w:sz w:val="22"/>
          <w:szCs w:val="22"/>
        </w:rPr>
        <w:t>1. T. Hatakeyama, F.X. Quinn, Thermal Analysis, Fundamentals and Applications to Polymer Science, 2ª Ed., Wiley, 1999.</w:t>
      </w:r>
    </w:p>
    <w:p>
      <w:pPr>
        <w:spacing w:line="360" w:lineRule="auto"/>
        <w:jc w:val="both"/>
        <w:rPr>
          <w:rFonts w:ascii="Arial" w:hAnsi="Arial" w:cs="Arial"/>
          <w:sz w:val="22"/>
          <w:szCs w:val="22"/>
        </w:rPr>
      </w:pPr>
      <w:r>
        <w:rPr>
          <w:rFonts w:ascii="Arial" w:hAnsi="Arial" w:cs="Arial"/>
          <w:sz w:val="22"/>
          <w:szCs w:val="22"/>
        </w:rPr>
        <w:t>2. J.C. Anderson, K.D. Leaver, R.D. Rawlings, J.M. Alexander, Materials Science, 3</w:t>
      </w:r>
      <w:r>
        <w:rPr>
          <w:rFonts w:ascii="Arial" w:hAnsi="Arial" w:cs="Arial"/>
          <w:sz w:val="22"/>
          <w:szCs w:val="22"/>
          <w:vertAlign w:val="superscript"/>
        </w:rPr>
        <w:t>a</w:t>
      </w:r>
      <w:r>
        <w:rPr>
          <w:rFonts w:ascii="Arial" w:hAnsi="Arial" w:cs="Arial"/>
          <w:sz w:val="22"/>
          <w:szCs w:val="22"/>
        </w:rPr>
        <w:t xml:space="preserve"> ed., Van Nostrand Reinhold, 1985.</w:t>
      </w:r>
    </w:p>
    <w:p>
      <w:pPr>
        <w:spacing w:line="360" w:lineRule="auto"/>
        <w:jc w:val="both"/>
        <w:rPr>
          <w:rFonts w:ascii="Arial" w:hAnsi="Arial" w:cs="Arial"/>
          <w:sz w:val="22"/>
          <w:szCs w:val="22"/>
        </w:rPr>
      </w:pPr>
      <w:r>
        <w:rPr>
          <w:rFonts w:ascii="Arial" w:hAnsi="Arial" w:cs="Arial"/>
          <w:sz w:val="22"/>
          <w:szCs w:val="22"/>
        </w:rPr>
        <w:t>3. R. Tilley, Understanding Solids, The Science of Materials, Wiley, 2004.</w:t>
      </w:r>
    </w:p>
    <w:p>
      <w:pPr>
        <w:spacing w:line="360" w:lineRule="auto"/>
        <w:jc w:val="both"/>
        <w:rPr>
          <w:rFonts w:ascii="Arial" w:hAnsi="Arial" w:cs="Arial"/>
          <w:sz w:val="22"/>
          <w:szCs w:val="22"/>
          <w:lang w:val="pt-BR"/>
        </w:rPr>
      </w:pPr>
      <w:r>
        <w:rPr>
          <w:rFonts w:ascii="Arial" w:hAnsi="Arial" w:cs="Arial"/>
          <w:sz w:val="22"/>
          <w:szCs w:val="22"/>
          <w:lang w:val="pt-BR"/>
        </w:rPr>
        <w:t>4. J.F. Shackelford, Ciência dos Materiais, 6ª ed., Pearson, 2008.</w:t>
      </w:r>
    </w:p>
    <w:p>
      <w:pPr>
        <w:spacing w:line="360" w:lineRule="auto"/>
        <w:jc w:val="both"/>
        <w:rPr>
          <w:rFonts w:ascii="Arial" w:hAnsi="Arial" w:cs="Arial"/>
          <w:sz w:val="22"/>
          <w:szCs w:val="22"/>
        </w:rPr>
      </w:pPr>
      <w:r>
        <w:rPr>
          <w:rFonts w:ascii="Arial" w:hAnsi="Arial" w:cs="Arial"/>
          <w:sz w:val="22"/>
          <w:szCs w:val="22"/>
        </w:rPr>
        <w:t>5. W.D. Callister Jr., Materials Science and Engineering, Wiley, 3ª ed., 1994.</w:t>
      </w:r>
    </w:p>
    <w:p>
      <w:pPr>
        <w:spacing w:line="360" w:lineRule="auto"/>
        <w:jc w:val="both"/>
        <w:rPr>
          <w:rFonts w:ascii="Arial" w:hAnsi="Arial" w:cs="Arial"/>
          <w:sz w:val="22"/>
          <w:szCs w:val="22"/>
        </w:rPr>
      </w:pPr>
      <w:r>
        <w:rPr>
          <w:rFonts w:ascii="Arial" w:hAnsi="Arial" w:cs="Arial"/>
          <w:sz w:val="22"/>
          <w:szCs w:val="22"/>
        </w:rPr>
        <w:t>6. D.A. Skoog, J.L. Leary, Principles of Instrumental Analysis, Saunders, 4a. ed., 1992.</w:t>
      </w:r>
    </w:p>
    <w:p>
      <w:pPr>
        <w:spacing w:line="360" w:lineRule="auto"/>
        <w:jc w:val="both"/>
        <w:rPr>
          <w:rFonts w:ascii="Arial" w:hAnsi="Arial" w:cs="Arial"/>
          <w:sz w:val="22"/>
          <w:szCs w:val="22"/>
        </w:rPr>
      </w:pPr>
      <w:r>
        <w:rPr>
          <w:rFonts w:ascii="Arial" w:hAnsi="Arial" w:cs="Arial"/>
          <w:sz w:val="22"/>
          <w:szCs w:val="22"/>
        </w:rPr>
        <w:t>7. K.P. Menard, Dynamic Mechanical Analysis, A Practical Introduction, CRC, 1999.</w:t>
      </w:r>
    </w:p>
    <w:p>
      <w:pPr>
        <w:spacing w:line="360" w:lineRule="auto"/>
        <w:jc w:val="both"/>
        <w:rPr>
          <w:rStyle w:val="10"/>
          <w:color w:val="000000"/>
        </w:rPr>
      </w:pPr>
      <w:r>
        <w:rPr>
          <w:rFonts w:ascii="Arial" w:hAnsi="Arial" w:cs="Arial"/>
          <w:sz w:val="22"/>
          <w:szCs w:val="22"/>
        </w:rPr>
        <w:t xml:space="preserve">8. Aulas abertas, </w:t>
      </w:r>
      <w:r>
        <w:rPr>
          <w:rFonts w:ascii="Arial" w:hAnsi="Arial" w:cs="Arial"/>
          <w:i/>
          <w:sz w:val="22"/>
          <w:szCs w:val="22"/>
        </w:rPr>
        <w:t>online</w:t>
      </w:r>
      <w:r>
        <w:rPr>
          <w:rFonts w:ascii="Arial" w:hAnsi="Arial" w:cs="Arial"/>
          <w:sz w:val="22"/>
          <w:szCs w:val="22"/>
        </w:rPr>
        <w:t>, de Khaled Mezgahani (</w:t>
      </w:r>
      <w:r>
        <w:rPr>
          <w:rStyle w:val="10"/>
          <w:rFonts w:ascii="Arial" w:hAnsi="Arial" w:cs="Arial"/>
          <w:color w:val="000000"/>
          <w:sz w:val="22"/>
          <w:szCs w:val="22"/>
        </w:rPr>
        <w:t>ocw.kfupm.edu.sa</w:t>
      </w:r>
      <w:r>
        <w:rPr>
          <w:rStyle w:val="10"/>
          <w:rFonts w:ascii="Arial" w:hAnsi="Arial" w:cs="Arial"/>
          <w:i w:val="0"/>
          <w:color w:val="000000"/>
          <w:sz w:val="22"/>
          <w:szCs w:val="22"/>
        </w:rPr>
        <w:t>)</w:t>
      </w:r>
      <w:r>
        <w:rPr>
          <w:rStyle w:val="10"/>
          <w:rFonts w:ascii="Arial" w:hAnsi="Arial" w:cs="Arial"/>
          <w:color w:val="000000"/>
          <w:sz w:val="22"/>
          <w:szCs w:val="22"/>
        </w:rPr>
        <w:t>.</w:t>
      </w:r>
    </w:p>
    <w:p>
      <w:pPr>
        <w:autoSpaceDE w:val="0"/>
        <w:autoSpaceDN w:val="0"/>
        <w:adjustRightInd w:val="0"/>
        <w:spacing w:line="360" w:lineRule="auto"/>
        <w:rPr>
          <w:rFonts w:ascii="Arial" w:hAnsi="Arial" w:cs="Arial" w:eastAsiaTheme="minorHAnsi"/>
          <w:color w:val="231F20"/>
          <w:sz w:val="22"/>
          <w:szCs w:val="22"/>
          <w:lang w:val="pt-BR" w:eastAsia="en-US"/>
        </w:rPr>
      </w:pPr>
      <w:r>
        <w:rPr>
          <w:rStyle w:val="10"/>
          <w:rFonts w:ascii="Arial" w:hAnsi="Arial" w:cs="Arial"/>
          <w:i w:val="0"/>
          <w:color w:val="000000"/>
          <w:sz w:val="22"/>
          <w:szCs w:val="22"/>
        </w:rPr>
        <w:t xml:space="preserve">9. Perkin Elmer </w:t>
      </w:r>
      <w:r>
        <w:rPr>
          <w:rStyle w:val="10"/>
          <w:rFonts w:ascii="Arial" w:hAnsi="Arial" w:cs="Arial"/>
          <w:color w:val="000000"/>
          <w:sz w:val="22"/>
          <w:szCs w:val="22"/>
        </w:rPr>
        <w:t>online</w:t>
      </w:r>
      <w:r>
        <w:rPr>
          <w:rStyle w:val="10"/>
          <w:rFonts w:ascii="Arial" w:hAnsi="Arial" w:cs="Arial"/>
          <w:i w:val="0"/>
          <w:color w:val="000000"/>
          <w:sz w:val="22"/>
          <w:szCs w:val="22"/>
        </w:rPr>
        <w:t xml:space="preserve">, An Introduction to Dynamic Mechanical Analysis (DMA); </w:t>
      </w:r>
      <w:r>
        <w:rPr>
          <w:rFonts w:ascii="Arial" w:hAnsi="Arial" w:cs="Arial" w:eastAsiaTheme="minorHAnsi"/>
          <w:color w:val="231F20"/>
          <w:sz w:val="22"/>
          <w:szCs w:val="22"/>
          <w:lang w:eastAsia="en-US"/>
        </w:rPr>
        <w:t xml:space="preserve">Dynamic Mechanical Analysis. </w:t>
      </w:r>
      <w:r>
        <w:rPr>
          <w:rFonts w:ascii="Arial" w:hAnsi="Arial" w:cs="Arial" w:eastAsiaTheme="minorHAnsi"/>
          <w:color w:val="231F20"/>
          <w:sz w:val="22"/>
          <w:szCs w:val="22"/>
          <w:lang w:val="pt-BR" w:eastAsia="en-US"/>
        </w:rPr>
        <w:t>Basics: Part 1. How DMA Works.</w:t>
      </w:r>
    </w:p>
    <w:p>
      <w:pPr>
        <w:pStyle w:val="2"/>
        <w:spacing w:before="0" w:line="360" w:lineRule="auto"/>
        <w:rPr>
          <w:rFonts w:ascii="Arial" w:hAnsi="Arial" w:cs="Arial"/>
          <w:b w:val="0"/>
          <w:color w:val="auto"/>
          <w:sz w:val="22"/>
          <w:szCs w:val="22"/>
          <w:lang w:val="pt-BR"/>
        </w:rPr>
      </w:pPr>
      <w:r>
        <w:rPr>
          <w:rFonts w:ascii="Arial" w:hAnsi="Arial" w:cs="Arial" w:eastAsiaTheme="minorHAnsi"/>
          <w:b w:val="0"/>
          <w:color w:val="231F20"/>
          <w:sz w:val="22"/>
          <w:szCs w:val="22"/>
          <w:lang w:val="pt-BR" w:eastAsia="en-US"/>
        </w:rPr>
        <w:t>10. Apostila Análises Térmicas (</w:t>
      </w:r>
      <w:r>
        <w:rPr>
          <w:rFonts w:ascii="Arial" w:hAnsi="Arial" w:cs="Arial" w:eastAsiaTheme="minorHAnsi"/>
          <w:b w:val="0"/>
          <w:i/>
          <w:color w:val="231F20"/>
          <w:sz w:val="22"/>
          <w:szCs w:val="22"/>
          <w:lang w:val="pt-BR" w:eastAsia="en-US"/>
        </w:rPr>
        <w:t>online</w:t>
      </w:r>
      <w:r>
        <w:rPr>
          <w:rFonts w:ascii="Arial" w:hAnsi="Arial" w:cs="Arial" w:eastAsiaTheme="minorHAnsi"/>
          <w:b w:val="0"/>
          <w:color w:val="231F20"/>
          <w:sz w:val="22"/>
          <w:szCs w:val="22"/>
          <w:lang w:val="pt-BR" w:eastAsia="en-US"/>
        </w:rPr>
        <w:t xml:space="preserve">), Departamento de Engenharia Mecânica, UFSC, </w:t>
      </w:r>
      <w:r>
        <w:rPr>
          <w:rFonts w:ascii="Arial" w:hAnsi="Arial" w:cs="Arial"/>
          <w:b w:val="0"/>
          <w:color w:val="000000"/>
          <w:sz w:val="22"/>
          <w:szCs w:val="22"/>
          <w:lang w:val="pt-BR"/>
        </w:rPr>
        <w:t>G.V. Rodrigues</w:t>
      </w:r>
      <w:r>
        <w:rPr>
          <w:rFonts w:ascii="Arial" w:hAnsi="Arial" w:cs="Arial"/>
          <w:b w:val="0"/>
          <w:color w:val="auto"/>
          <w:sz w:val="22"/>
          <w:szCs w:val="22"/>
          <w:lang w:val="pt-BR"/>
        </w:rPr>
        <w:t xml:space="preserve">, O. Marchetto, P.A.P. Wendhausen. </w:t>
      </w:r>
    </w:p>
    <w:p>
      <w:pPr>
        <w:pStyle w:val="7"/>
        <w:spacing w:line="360" w:lineRule="auto"/>
        <w:rPr>
          <w:rFonts w:ascii="Arial" w:hAnsi="Arial" w:cs="Arial"/>
          <w:sz w:val="22"/>
          <w:szCs w:val="22"/>
          <w:lang w:val="en-US"/>
        </w:rPr>
      </w:pPr>
      <w:r>
        <w:rPr>
          <w:rFonts w:ascii="Arial" w:hAnsi="Arial" w:cs="Arial"/>
          <w:sz w:val="22"/>
          <w:szCs w:val="22"/>
          <w:lang w:val="en-US"/>
        </w:rPr>
        <w:t>11. IUPAC, http://www.iupac.org/publications/analytical_compendium/Cha05sec2.pdf.</w:t>
      </w:r>
    </w:p>
    <w:p>
      <w:pPr>
        <w:pStyle w:val="7"/>
        <w:spacing w:line="360" w:lineRule="auto"/>
        <w:rPr>
          <w:rFonts w:ascii="Arial" w:hAnsi="Arial" w:cs="Arial"/>
          <w:sz w:val="22"/>
          <w:szCs w:val="22"/>
        </w:rPr>
      </w:pPr>
      <w:r>
        <w:rPr>
          <w:rFonts w:ascii="Arial" w:hAnsi="Arial" w:cs="Arial"/>
          <w:sz w:val="22"/>
          <w:szCs w:val="22"/>
        </w:rPr>
        <w:t xml:space="preserve">12. Aula </w:t>
      </w:r>
      <w:r>
        <w:rPr>
          <w:rFonts w:ascii="Arial" w:hAnsi="Arial" w:cs="Arial"/>
          <w:i/>
          <w:sz w:val="22"/>
          <w:szCs w:val="22"/>
        </w:rPr>
        <w:t>online</w:t>
      </w:r>
      <w:r>
        <w:rPr>
          <w:rFonts w:ascii="Arial" w:hAnsi="Arial" w:cs="Arial"/>
          <w:sz w:val="22"/>
          <w:szCs w:val="22"/>
        </w:rPr>
        <w:t>, Análises Térmicas, http://www.chem.mun.ca/courseinfo/c4110.</w:t>
      </w:r>
    </w:p>
    <w:p>
      <w:pPr>
        <w:spacing w:line="360" w:lineRule="auto"/>
        <w:jc w:val="both"/>
        <w:rPr>
          <w:rFonts w:ascii="Arial" w:hAnsi="Arial" w:cs="Arial"/>
          <w:sz w:val="22"/>
          <w:szCs w:val="22"/>
          <w:lang w:val="pt-BR"/>
        </w:rPr>
      </w:pPr>
      <w:r>
        <w:rPr>
          <w:rFonts w:ascii="Arial" w:hAnsi="Arial" w:cs="Arial"/>
          <w:sz w:val="22"/>
          <w:szCs w:val="22"/>
          <w:lang w:val="pt-BR"/>
        </w:rPr>
        <w:t>13. S.N. Cassu, M.I. Felisberti, Quimica Nova, 28, 255, 2005. (DMA).</w:t>
      </w:r>
    </w:p>
    <w:p>
      <w:pPr>
        <w:spacing w:line="360" w:lineRule="auto"/>
        <w:jc w:val="both"/>
        <w:rPr>
          <w:rFonts w:ascii="Arial" w:hAnsi="Arial" w:cs="Arial"/>
          <w:sz w:val="22"/>
          <w:szCs w:val="22"/>
          <w:lang w:val="pt-BR"/>
        </w:rPr>
      </w:pPr>
      <w:r>
        <w:rPr>
          <w:rFonts w:ascii="Arial" w:hAnsi="Arial" w:cs="Arial"/>
          <w:sz w:val="22"/>
          <w:szCs w:val="22"/>
          <w:lang w:val="pt-BR"/>
        </w:rPr>
        <w:t>14. Site TA Instruments.</w:t>
      </w:r>
    </w:p>
    <w:p>
      <w:pPr>
        <w:spacing w:line="360" w:lineRule="auto"/>
        <w:jc w:val="both"/>
        <w:rPr>
          <w:rFonts w:ascii="Arial" w:hAnsi="Arial" w:cs="Arial"/>
          <w:sz w:val="22"/>
          <w:szCs w:val="22"/>
          <w:lang w:val="pt-BR"/>
        </w:rPr>
      </w:pPr>
      <w:r>
        <w:rPr>
          <w:rFonts w:ascii="Arial" w:hAnsi="Arial" w:cs="Arial"/>
          <w:sz w:val="22"/>
          <w:szCs w:val="22"/>
          <w:lang w:val="pt-BR"/>
        </w:rPr>
        <w:t xml:space="preserve">15. </w:t>
      </w:r>
      <w:r>
        <w:rPr>
          <w:rFonts w:ascii="Arial" w:hAnsi="Arial" w:cs="Arial"/>
          <w:i/>
          <w:sz w:val="22"/>
          <w:szCs w:val="22"/>
          <w:lang w:val="pt-BR"/>
        </w:rPr>
        <w:t>DMTA: Dynamic Mechanical Thermal Analysis</w:t>
      </w:r>
      <w:r>
        <w:rPr>
          <w:rFonts w:ascii="Arial" w:hAnsi="Arial" w:cs="Arial"/>
          <w:sz w:val="22"/>
          <w:szCs w:val="22"/>
          <w:lang w:val="pt-BR"/>
        </w:rPr>
        <w:t xml:space="preserve"> (disponível online).</w:t>
      </w:r>
      <w:r>
        <w:rPr>
          <w:rFonts w:ascii="Arial" w:hAnsi="Arial" w:cs="Arial"/>
          <w:color w:val="000000"/>
        </w:rPr>
        <w:t xml:space="preserve"> </w:t>
      </w:r>
      <w:r>
        <w:rPr>
          <w:rStyle w:val="10"/>
          <w:rFonts w:ascii="Arial" w:hAnsi="Arial" w:cs="Arial"/>
          <w:color w:val="000000"/>
          <w:sz w:val="22"/>
          <w:szCs w:val="22"/>
        </w:rPr>
        <w:t>www.sealseastern.com/PDF/DynamicMechThermalAnal.pdf</w:t>
      </w:r>
    </w:p>
    <w:p>
      <w:pPr>
        <w:spacing w:line="360" w:lineRule="auto"/>
        <w:jc w:val="both"/>
        <w:rPr>
          <w:rFonts w:ascii="Arial" w:hAnsi="Arial" w:cs="Arial"/>
          <w:sz w:val="22"/>
          <w:szCs w:val="22"/>
          <w:lang w:val="pt-BR"/>
        </w:rPr>
      </w:pPr>
      <w:r>
        <w:rPr>
          <w:rFonts w:ascii="Arial" w:hAnsi="Arial" w:cs="Arial"/>
          <w:sz w:val="22"/>
          <w:szCs w:val="22"/>
          <w:lang w:val="pt-BR"/>
        </w:rPr>
        <w:t>16. O. Mendieta-Taboada, R.A. de Carvalho, P.J. do A. Sobral, Química Nova, 31, 384, 2008. (DMA).</w:t>
      </w:r>
    </w:p>
    <w:p>
      <w:pPr>
        <w:spacing w:line="360" w:lineRule="auto"/>
        <w:jc w:val="both"/>
        <w:rPr>
          <w:rFonts w:ascii="Arial" w:hAnsi="Arial" w:cs="Arial"/>
          <w:sz w:val="22"/>
          <w:szCs w:val="22"/>
          <w:lang w:val="pt-BR"/>
        </w:rPr>
      </w:pPr>
      <w:r>
        <w:rPr>
          <w:rFonts w:ascii="Arial" w:hAnsi="Arial" w:cs="Arial"/>
          <w:sz w:val="22"/>
          <w:szCs w:val="22"/>
          <w:lang w:val="pt-BR"/>
        </w:rPr>
        <w:t>17. C. Bernal, A.B. Couto, S.T. Brevigli, E.T.G. Cavalheiro, Química Nova, 25, 849, 2002. (DSC).</w:t>
      </w:r>
    </w:p>
    <w:p>
      <w:pPr>
        <w:spacing w:line="360" w:lineRule="auto"/>
        <w:jc w:val="both"/>
        <w:rPr>
          <w:rFonts w:ascii="Arial" w:hAnsi="Arial" w:cs="Arial"/>
          <w:sz w:val="22"/>
          <w:szCs w:val="22"/>
          <w:lang w:val="pt-BR"/>
        </w:rPr>
      </w:pPr>
      <w:bookmarkStart w:id="0" w:name="_GoBack"/>
      <w:bookmarkEnd w:id="0"/>
    </w:p>
    <w:sectPr>
      <w:footerReference r:id="rId3" w:type="default"/>
      <w:footerReference r:id="rId4" w:type="even"/>
      <w:pgSz w:w="16838" w:h="11906" w:orient="landscape"/>
      <w:pgMar w:top="1701" w:right="1417" w:bottom="1701" w:left="1417"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Symbol">
    <w:panose1 w:val="05050102010706020507"/>
    <w:charset w:val="02"/>
    <w:family w:val="roman"/>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ILGOK+LucidaSansUnicode">
    <w:altName w:val="Lucida Sans Unicode"/>
    <w:panose1 w:val="00000000000000000000"/>
    <w:charset w:val="00"/>
    <w:family w:val="swiss"/>
    <w:pitch w:val="default"/>
    <w:sig w:usb0="00000000" w:usb1="00000000" w:usb2="00000010" w:usb3="00000000" w:csb0="00020001" w:csb1="00000000"/>
  </w:font>
  <w:font w:name="Tahoma">
    <w:panose1 w:val="020B0604030504040204"/>
    <w:charset w:val="00"/>
    <w:family w:val="swiss"/>
    <w:pitch w:val="default"/>
    <w:sig w:usb0="E1002EFF" w:usb1="C000605B" w:usb2="00000029" w:usb3="00000000" w:csb0="200101FF" w:csb1="2028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right" w:y="1"/>
      <w:rPr>
        <w:rStyle w:val="12"/>
        <w:rFonts w:ascii="Arial" w:hAnsi="Arial" w:cs="Arial"/>
        <w:sz w:val="20"/>
        <w:szCs w:val="20"/>
      </w:rPr>
    </w:pPr>
    <w:r>
      <w:rPr>
        <w:rStyle w:val="12"/>
        <w:rFonts w:ascii="Arial" w:hAnsi="Arial" w:cs="Arial"/>
        <w:sz w:val="20"/>
        <w:szCs w:val="20"/>
      </w:rPr>
      <w:fldChar w:fldCharType="begin"/>
    </w:r>
    <w:r>
      <w:rPr>
        <w:rStyle w:val="12"/>
        <w:rFonts w:ascii="Arial" w:hAnsi="Arial" w:cs="Arial"/>
        <w:sz w:val="20"/>
        <w:szCs w:val="20"/>
      </w:rPr>
      <w:instrText xml:space="preserve">PAGE  </w:instrText>
    </w:r>
    <w:r>
      <w:rPr>
        <w:rStyle w:val="12"/>
        <w:rFonts w:ascii="Arial" w:hAnsi="Arial" w:cs="Arial"/>
        <w:sz w:val="20"/>
        <w:szCs w:val="20"/>
      </w:rPr>
      <w:fldChar w:fldCharType="separate"/>
    </w:r>
    <w:r>
      <w:rPr>
        <w:rStyle w:val="12"/>
        <w:rFonts w:ascii="Arial" w:hAnsi="Arial" w:cs="Arial"/>
        <w:sz w:val="20"/>
        <w:szCs w:val="20"/>
      </w:rPr>
      <w:t>13</w:t>
    </w:r>
    <w:r>
      <w:rPr>
        <w:rStyle w:val="12"/>
        <w:rFonts w:ascii="Arial" w:hAnsi="Arial" w:cs="Arial"/>
        <w:sz w:val="20"/>
        <w:szCs w:val="20"/>
      </w:rPr>
      <w:fldChar w:fldCharType="end"/>
    </w:r>
  </w:p>
  <w:p>
    <w:pPr>
      <w:pStyle w:val="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right" w:y="1"/>
      <w:rPr>
        <w:rStyle w:val="12"/>
      </w:rPr>
    </w:pPr>
    <w:r>
      <w:rPr>
        <w:rStyle w:val="12"/>
      </w:rPr>
      <w:fldChar w:fldCharType="begin"/>
    </w:r>
    <w:r>
      <w:rPr>
        <w:rStyle w:val="12"/>
      </w:rPr>
      <w:instrText xml:space="preserve">PAGE  </w:instrText>
    </w:r>
    <w:r>
      <w:rPr>
        <w:rStyle w:val="12"/>
      </w:rPr>
      <w:fldChar w:fldCharType="end"/>
    </w:r>
  </w:p>
  <w:p>
    <w:pPr>
      <w:pStyle w:val="5"/>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91F66"/>
    <w:multiLevelType w:val="multilevel"/>
    <w:tmpl w:val="03E91F66"/>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nforcement="0"/>
  <w:defaultTabStop w:val="708"/>
  <w:hyphenationZone w:val="425"/>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7E1"/>
    <w:rsid w:val="00021AC6"/>
    <w:rsid w:val="00035304"/>
    <w:rsid w:val="000466AF"/>
    <w:rsid w:val="0009070B"/>
    <w:rsid w:val="000B5099"/>
    <w:rsid w:val="000C7F3E"/>
    <w:rsid w:val="00113A5D"/>
    <w:rsid w:val="00116E2F"/>
    <w:rsid w:val="00133E04"/>
    <w:rsid w:val="0016504B"/>
    <w:rsid w:val="00175399"/>
    <w:rsid w:val="00183160"/>
    <w:rsid w:val="001C48E4"/>
    <w:rsid w:val="001F2FEE"/>
    <w:rsid w:val="001F3D5B"/>
    <w:rsid w:val="00215995"/>
    <w:rsid w:val="002466EC"/>
    <w:rsid w:val="00266343"/>
    <w:rsid w:val="002826D0"/>
    <w:rsid w:val="00291D1B"/>
    <w:rsid w:val="00297E74"/>
    <w:rsid w:val="002A392C"/>
    <w:rsid w:val="002F291A"/>
    <w:rsid w:val="002F6875"/>
    <w:rsid w:val="003152B7"/>
    <w:rsid w:val="00326181"/>
    <w:rsid w:val="003A5141"/>
    <w:rsid w:val="003D2F27"/>
    <w:rsid w:val="003F7A37"/>
    <w:rsid w:val="004267E1"/>
    <w:rsid w:val="00490AC3"/>
    <w:rsid w:val="004A605A"/>
    <w:rsid w:val="004C40A4"/>
    <w:rsid w:val="004C75AA"/>
    <w:rsid w:val="004D4AB0"/>
    <w:rsid w:val="004F0993"/>
    <w:rsid w:val="005034CB"/>
    <w:rsid w:val="00540ECB"/>
    <w:rsid w:val="00581FCD"/>
    <w:rsid w:val="00594BAF"/>
    <w:rsid w:val="005A15B9"/>
    <w:rsid w:val="005B4A3B"/>
    <w:rsid w:val="005C1E29"/>
    <w:rsid w:val="005E5354"/>
    <w:rsid w:val="0060581E"/>
    <w:rsid w:val="00632BCA"/>
    <w:rsid w:val="006509ED"/>
    <w:rsid w:val="00654B3F"/>
    <w:rsid w:val="00665C2C"/>
    <w:rsid w:val="00690F2C"/>
    <w:rsid w:val="00691F1D"/>
    <w:rsid w:val="006A2A0E"/>
    <w:rsid w:val="006B4D73"/>
    <w:rsid w:val="006C2574"/>
    <w:rsid w:val="006C36DF"/>
    <w:rsid w:val="006F1811"/>
    <w:rsid w:val="006F470A"/>
    <w:rsid w:val="007270D4"/>
    <w:rsid w:val="00746858"/>
    <w:rsid w:val="00753231"/>
    <w:rsid w:val="00765027"/>
    <w:rsid w:val="00765CEB"/>
    <w:rsid w:val="00771F7B"/>
    <w:rsid w:val="007A6839"/>
    <w:rsid w:val="007E6991"/>
    <w:rsid w:val="00801E3C"/>
    <w:rsid w:val="00841DD2"/>
    <w:rsid w:val="00850040"/>
    <w:rsid w:val="00851D06"/>
    <w:rsid w:val="0085255B"/>
    <w:rsid w:val="0085378F"/>
    <w:rsid w:val="00882A05"/>
    <w:rsid w:val="00886D52"/>
    <w:rsid w:val="008D7D7E"/>
    <w:rsid w:val="008E4F27"/>
    <w:rsid w:val="008E5911"/>
    <w:rsid w:val="008F7822"/>
    <w:rsid w:val="00913563"/>
    <w:rsid w:val="00923816"/>
    <w:rsid w:val="00960277"/>
    <w:rsid w:val="009A50EF"/>
    <w:rsid w:val="009D3918"/>
    <w:rsid w:val="009F5DA7"/>
    <w:rsid w:val="009F689A"/>
    <w:rsid w:val="00A02C98"/>
    <w:rsid w:val="00A26C7F"/>
    <w:rsid w:val="00A42EAE"/>
    <w:rsid w:val="00A929D6"/>
    <w:rsid w:val="00A9629D"/>
    <w:rsid w:val="00AB3014"/>
    <w:rsid w:val="00AC4E63"/>
    <w:rsid w:val="00AD6CAD"/>
    <w:rsid w:val="00AD7AD1"/>
    <w:rsid w:val="00B308AA"/>
    <w:rsid w:val="00B357AD"/>
    <w:rsid w:val="00B37771"/>
    <w:rsid w:val="00B5013A"/>
    <w:rsid w:val="00B75E43"/>
    <w:rsid w:val="00B92310"/>
    <w:rsid w:val="00BA16D1"/>
    <w:rsid w:val="00BC152D"/>
    <w:rsid w:val="00BF4C78"/>
    <w:rsid w:val="00C47706"/>
    <w:rsid w:val="00C63DA0"/>
    <w:rsid w:val="00C70C0B"/>
    <w:rsid w:val="00C871BE"/>
    <w:rsid w:val="00D0360C"/>
    <w:rsid w:val="00D21A68"/>
    <w:rsid w:val="00D25841"/>
    <w:rsid w:val="00D37437"/>
    <w:rsid w:val="00D56F31"/>
    <w:rsid w:val="00D61569"/>
    <w:rsid w:val="00D618F7"/>
    <w:rsid w:val="00D64859"/>
    <w:rsid w:val="00D73E79"/>
    <w:rsid w:val="00D7512C"/>
    <w:rsid w:val="00D75352"/>
    <w:rsid w:val="00E14606"/>
    <w:rsid w:val="00E31ADE"/>
    <w:rsid w:val="00E420F4"/>
    <w:rsid w:val="00E93926"/>
    <w:rsid w:val="00E962D6"/>
    <w:rsid w:val="00EA52E4"/>
    <w:rsid w:val="00EC1FB4"/>
    <w:rsid w:val="00ED082C"/>
    <w:rsid w:val="00EE404B"/>
    <w:rsid w:val="00F01C73"/>
    <w:rsid w:val="00F33D5F"/>
    <w:rsid w:val="00F568F9"/>
    <w:rsid w:val="00F56E66"/>
    <w:rsid w:val="00F63400"/>
    <w:rsid w:val="00F87E1D"/>
    <w:rsid w:val="00FA45FB"/>
    <w:rsid w:val="00FE45F0"/>
    <w:rsid w:val="00FE6CBB"/>
    <w:rsid w:val="0F751D48"/>
    <w:rsid w:val="24944DEF"/>
    <w:rsid w:val="28A61D43"/>
    <w:rsid w:val="39CF206E"/>
    <w:rsid w:val="4DAA0855"/>
    <w:rsid w:val="5A620249"/>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99" w:semiHidden="0"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en-US" w:eastAsia="pt-BR" w:bidi="ar-SA"/>
    </w:rPr>
  </w:style>
  <w:style w:type="paragraph" w:styleId="2">
    <w:name w:val="heading 1"/>
    <w:basedOn w:val="1"/>
    <w:next w:val="1"/>
    <w:link w:val="20"/>
    <w:qFormat/>
    <w:uiPriority w:val="9"/>
    <w:pPr>
      <w:keepNext/>
      <w:keepLines/>
      <w:spacing w:before="480"/>
      <w:outlineLvl w:val="0"/>
    </w:pPr>
    <w:rPr>
      <w:rFonts w:asciiTheme="majorHAnsi" w:hAnsiTheme="majorHAnsi" w:eastAsiaTheme="majorEastAsia" w:cstheme="majorBidi"/>
      <w:b/>
      <w:bCs/>
      <w:color w:val="376092" w:themeColor="accent1" w:themeShade="BF"/>
      <w:sz w:val="28"/>
      <w:szCs w:val="28"/>
    </w:rPr>
  </w:style>
  <w:style w:type="character" w:default="1" w:styleId="9">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Body Text Indent 2"/>
    <w:basedOn w:val="1"/>
    <w:link w:val="18"/>
    <w:qFormat/>
    <w:uiPriority w:val="0"/>
    <w:pPr>
      <w:spacing w:after="120" w:line="480" w:lineRule="auto"/>
      <w:ind w:left="360"/>
    </w:pPr>
  </w:style>
  <w:style w:type="paragraph" w:styleId="4">
    <w:name w:val="Normal (Web)"/>
    <w:basedOn w:val="1"/>
    <w:qFormat/>
    <w:uiPriority w:val="99"/>
    <w:pPr>
      <w:spacing w:before="100" w:beforeAutospacing="1" w:after="100" w:afterAutospacing="1"/>
    </w:pPr>
    <w:rPr>
      <w:color w:val="000000"/>
      <w:lang w:val="pt-BR"/>
    </w:rPr>
  </w:style>
  <w:style w:type="paragraph" w:styleId="5">
    <w:name w:val="footer"/>
    <w:basedOn w:val="1"/>
    <w:link w:val="14"/>
    <w:qFormat/>
    <w:uiPriority w:val="0"/>
    <w:pPr>
      <w:tabs>
        <w:tab w:val="center" w:pos="4252"/>
        <w:tab w:val="right" w:pos="8504"/>
      </w:tabs>
    </w:pPr>
  </w:style>
  <w:style w:type="paragraph" w:styleId="6">
    <w:name w:val="Body Text Indent 3"/>
    <w:basedOn w:val="7"/>
    <w:next w:val="7"/>
    <w:link w:val="15"/>
    <w:qFormat/>
    <w:uiPriority w:val="99"/>
    <w:rPr>
      <w:rFonts w:ascii="BILGOK+LucidaSansUnicode" w:hAnsi="BILGOK+LucidaSansUnicode"/>
      <w:color w:val="auto"/>
    </w:rPr>
  </w:style>
  <w:style w:type="paragraph" w:customStyle="1" w:styleId="7">
    <w:name w:val="Default"/>
    <w:qFormat/>
    <w:uiPriority w:val="0"/>
    <w:pPr>
      <w:autoSpaceDE w:val="0"/>
      <w:autoSpaceDN w:val="0"/>
      <w:adjustRightInd w:val="0"/>
      <w:spacing w:after="0" w:line="240" w:lineRule="auto"/>
    </w:pPr>
    <w:rPr>
      <w:rFonts w:ascii="Times New Roman" w:hAnsi="Times New Roman" w:eastAsia="Times New Roman" w:cs="Times New Roman"/>
      <w:color w:val="000000"/>
      <w:sz w:val="24"/>
      <w:szCs w:val="24"/>
      <w:lang w:val="pt-BR" w:eastAsia="pt-BR" w:bidi="ar-SA"/>
    </w:rPr>
  </w:style>
  <w:style w:type="paragraph" w:styleId="8">
    <w:name w:val="Balloon Text"/>
    <w:basedOn w:val="1"/>
    <w:link w:val="19"/>
    <w:semiHidden/>
    <w:unhideWhenUsed/>
    <w:qFormat/>
    <w:uiPriority w:val="99"/>
    <w:rPr>
      <w:rFonts w:ascii="Tahoma" w:hAnsi="Tahoma" w:cs="Tahoma"/>
      <w:sz w:val="16"/>
      <w:szCs w:val="16"/>
    </w:rPr>
  </w:style>
  <w:style w:type="character" w:styleId="10">
    <w:name w:val="HTML Cite"/>
    <w:basedOn w:val="9"/>
    <w:semiHidden/>
    <w:unhideWhenUsed/>
    <w:qFormat/>
    <w:uiPriority w:val="99"/>
    <w:rPr>
      <w:i/>
      <w:iCs/>
    </w:rPr>
  </w:style>
  <w:style w:type="character" w:styleId="11">
    <w:name w:val="Hyperlink"/>
    <w:basedOn w:val="9"/>
    <w:qFormat/>
    <w:uiPriority w:val="0"/>
    <w:rPr>
      <w:color w:val="0000FF"/>
      <w:u w:val="single"/>
    </w:rPr>
  </w:style>
  <w:style w:type="character" w:styleId="12">
    <w:name w:val="page number"/>
    <w:basedOn w:val="9"/>
    <w:qFormat/>
    <w:uiPriority w:val="0"/>
  </w:style>
  <w:style w:type="character" w:customStyle="1" w:styleId="14">
    <w:name w:val="Rodapé Char"/>
    <w:basedOn w:val="9"/>
    <w:link w:val="5"/>
    <w:qFormat/>
    <w:uiPriority w:val="0"/>
    <w:rPr>
      <w:rFonts w:ascii="Times New Roman" w:hAnsi="Times New Roman" w:eastAsia="Times New Roman" w:cs="Times New Roman"/>
      <w:sz w:val="24"/>
      <w:szCs w:val="24"/>
      <w:lang w:val="en-US" w:eastAsia="pt-BR"/>
    </w:rPr>
  </w:style>
  <w:style w:type="character" w:customStyle="1" w:styleId="15">
    <w:name w:val="Recuo de corpo de texto 3 Char"/>
    <w:basedOn w:val="9"/>
    <w:link w:val="6"/>
    <w:qFormat/>
    <w:uiPriority w:val="99"/>
    <w:rPr>
      <w:rFonts w:ascii="BILGOK+LucidaSansUnicode" w:hAnsi="BILGOK+LucidaSansUnicode" w:eastAsia="Times New Roman" w:cs="Times New Roman"/>
      <w:sz w:val="24"/>
      <w:szCs w:val="24"/>
      <w:lang w:eastAsia="pt-BR"/>
    </w:rPr>
  </w:style>
  <w:style w:type="paragraph" w:styleId="16">
    <w:name w:val="List Paragraph"/>
    <w:basedOn w:val="1"/>
    <w:qFormat/>
    <w:uiPriority w:val="34"/>
    <w:pPr>
      <w:ind w:left="720"/>
      <w:contextualSpacing/>
    </w:pPr>
  </w:style>
  <w:style w:type="character" w:customStyle="1" w:styleId="17">
    <w:name w:val="font201"/>
    <w:basedOn w:val="9"/>
    <w:qFormat/>
    <w:uiPriority w:val="0"/>
    <w:rPr>
      <w:sz w:val="30"/>
      <w:szCs w:val="30"/>
    </w:rPr>
  </w:style>
  <w:style w:type="character" w:customStyle="1" w:styleId="18">
    <w:name w:val="Recuo de corpo de texto 2 Char"/>
    <w:basedOn w:val="9"/>
    <w:link w:val="3"/>
    <w:qFormat/>
    <w:uiPriority w:val="0"/>
    <w:rPr>
      <w:rFonts w:ascii="Times New Roman" w:hAnsi="Times New Roman" w:eastAsia="Times New Roman" w:cs="Times New Roman"/>
      <w:sz w:val="24"/>
      <w:szCs w:val="24"/>
      <w:lang w:val="en-US" w:eastAsia="pt-BR"/>
    </w:rPr>
  </w:style>
  <w:style w:type="character" w:customStyle="1" w:styleId="19">
    <w:name w:val="Texto de balão Char"/>
    <w:basedOn w:val="9"/>
    <w:link w:val="8"/>
    <w:semiHidden/>
    <w:qFormat/>
    <w:uiPriority w:val="99"/>
    <w:rPr>
      <w:rFonts w:ascii="Tahoma" w:hAnsi="Tahoma" w:eastAsia="Times New Roman" w:cs="Tahoma"/>
      <w:sz w:val="16"/>
      <w:szCs w:val="16"/>
      <w:lang w:val="en-US" w:eastAsia="pt-BR"/>
    </w:rPr>
  </w:style>
  <w:style w:type="character" w:customStyle="1" w:styleId="20">
    <w:name w:val="Título 1 Char"/>
    <w:basedOn w:val="9"/>
    <w:link w:val="2"/>
    <w:qFormat/>
    <w:uiPriority w:val="9"/>
    <w:rPr>
      <w:rFonts w:asciiTheme="majorHAnsi" w:hAnsiTheme="majorHAnsi" w:eastAsiaTheme="majorEastAsia" w:cstheme="majorBidi"/>
      <w:b/>
      <w:bCs/>
      <w:color w:val="376092" w:themeColor="accent1" w:themeShade="BF"/>
      <w:sz w:val="28"/>
      <w:szCs w:val="28"/>
      <w:lang w:val="en-US" w:eastAsia="pt-B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3.GIF"/><Relationship Id="rId27" Type="http://schemas.openxmlformats.org/officeDocument/2006/relationships/image" Target="media/image22.emf"/><Relationship Id="rId26" Type="http://schemas.openxmlformats.org/officeDocument/2006/relationships/image" Target="media/image21.png"/><Relationship Id="rId25" Type="http://schemas.openxmlformats.org/officeDocument/2006/relationships/image" Target="media/image20.GIF"/><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1664</Words>
  <Characters>8989</Characters>
  <Lines>74</Lines>
  <Paragraphs>21</Paragraphs>
  <TotalTime>16</TotalTime>
  <ScaleCrop>false</ScaleCrop>
  <LinksUpToDate>false</LinksUpToDate>
  <CharactersWithSpaces>10632</CharactersWithSpaces>
  <Application>WPS Office_11.2.0.9635_F1E327BC-269C-435d-A152-05C5408002CA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2010-03-24T18:46:00Z</dcterms:created>
  <dc:creator>Debora</dc:creator>
  <cp:lastModifiedBy>Debora</cp:lastModifiedBy>
  <cp:lastPrinted>2010-04-07T20:11:00Z</cp:lastPrinted>
  <dcterms:modified xsi:type="dcterms:W3CDTF">2020-08-31T18:50:58Z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1046-11.2.0.9635</vt:lpwstr>
  </property>
</Properties>
</file>