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A28B" w14:textId="6658F178" w:rsidR="00F33800" w:rsidRPr="005C6ACC" w:rsidRDefault="00F33800">
      <w:pPr>
        <w:rPr>
          <w:rFonts w:ascii="Cambria" w:hAnsi="Cambria"/>
          <w:color w:val="0000FF"/>
          <w:sz w:val="24"/>
          <w:szCs w:val="24"/>
        </w:rPr>
      </w:pPr>
    </w:p>
    <w:p w14:paraId="13E5DE67" w14:textId="77777777" w:rsidR="00E975A0" w:rsidRPr="00E975A0" w:rsidRDefault="00E975A0" w:rsidP="005C6AC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36"/>
          <w:sz w:val="30"/>
          <w:szCs w:val="30"/>
          <w:lang w:eastAsia="pt-BR"/>
        </w:rPr>
      </w:pPr>
      <w:proofErr w:type="spellStart"/>
      <w:r w:rsidRPr="00E975A0">
        <w:rPr>
          <w:rFonts w:ascii="Cambria" w:eastAsia="Times New Roman" w:hAnsi="Cambria" w:cs="Times New Roman"/>
          <w:b/>
          <w:bCs/>
          <w:color w:val="0000FF"/>
          <w:kern w:val="36"/>
          <w:sz w:val="30"/>
          <w:szCs w:val="30"/>
          <w:lang w:eastAsia="pt-BR"/>
        </w:rPr>
        <w:t>Timbuktu</w:t>
      </w:r>
      <w:proofErr w:type="spellEnd"/>
      <w:r w:rsidRPr="00E975A0">
        <w:rPr>
          <w:rFonts w:ascii="Cambria" w:eastAsia="Times New Roman" w:hAnsi="Cambria" w:cs="Times New Roman"/>
          <w:b/>
          <w:bCs/>
          <w:color w:val="0000FF"/>
          <w:kern w:val="36"/>
          <w:sz w:val="30"/>
          <w:szCs w:val="30"/>
          <w:lang w:eastAsia="pt-BR"/>
        </w:rPr>
        <w:t xml:space="preserve"> pode ser qualquer lugar</w:t>
      </w:r>
    </w:p>
    <w:p w14:paraId="7D34796F" w14:textId="1B311B13" w:rsidR="00E975A0" w:rsidRPr="005C6ACC" w:rsidRDefault="00E975A0" w:rsidP="005C6ACC">
      <w:pPr>
        <w:spacing w:after="0" w:line="240" w:lineRule="auto"/>
        <w:jc w:val="center"/>
        <w:rPr>
          <w:rFonts w:ascii="Cambria" w:hAnsi="Cambria"/>
          <w:color w:val="0000FF"/>
          <w:sz w:val="26"/>
          <w:szCs w:val="26"/>
        </w:rPr>
      </w:pPr>
      <w:r w:rsidRPr="005C6ACC">
        <w:rPr>
          <w:rFonts w:ascii="Cambria" w:hAnsi="Cambria"/>
          <w:color w:val="0000FF"/>
          <w:sz w:val="26"/>
          <w:szCs w:val="26"/>
        </w:rPr>
        <w:t>Alexandre Vidal Porto</w:t>
      </w:r>
    </w:p>
    <w:p w14:paraId="02A3D4C3" w14:textId="5A7CA1E9" w:rsidR="00E975A0" w:rsidRPr="005C6ACC" w:rsidRDefault="00E975A0" w:rsidP="005C6ACC">
      <w:pPr>
        <w:pStyle w:val="Ttulo2"/>
        <w:spacing w:before="0" w:line="240" w:lineRule="auto"/>
        <w:jc w:val="center"/>
        <w:rPr>
          <w:rFonts w:ascii="Cambria" w:hAnsi="Cambria" w:cs="Helvetica"/>
          <w:color w:val="0000FF"/>
          <w:sz w:val="20"/>
          <w:szCs w:val="20"/>
        </w:rPr>
      </w:pPr>
      <w:r w:rsidRPr="005C6ACC">
        <w:rPr>
          <w:rFonts w:ascii="Cambria" w:hAnsi="Cambria"/>
          <w:color w:val="0000FF"/>
          <w:sz w:val="20"/>
          <w:szCs w:val="20"/>
        </w:rPr>
        <w:t xml:space="preserve">Folha de S. Paulo, </w:t>
      </w:r>
      <w:r w:rsidRPr="005C6ACC">
        <w:rPr>
          <w:rFonts w:ascii="Cambria" w:hAnsi="Cambria" w:cs="Helvetica"/>
          <w:b/>
          <w:bCs/>
          <w:color w:val="0000FF"/>
          <w:sz w:val="20"/>
          <w:szCs w:val="20"/>
        </w:rPr>
        <w:t>02/02/2013</w:t>
      </w:r>
    </w:p>
    <w:p w14:paraId="4F5B8E66" w14:textId="45E87A2C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proofErr w:type="spellStart"/>
      <w:r w:rsidRPr="005C6ACC">
        <w:rPr>
          <w:rFonts w:ascii="Cambria" w:hAnsi="Cambria"/>
          <w:color w:val="0000FF"/>
        </w:rPr>
        <w:t>Timbuktu</w:t>
      </w:r>
      <w:proofErr w:type="spellEnd"/>
      <w:r w:rsidRPr="005C6ACC">
        <w:rPr>
          <w:rFonts w:ascii="Cambria" w:hAnsi="Cambria"/>
          <w:color w:val="0000FF"/>
        </w:rPr>
        <w:t xml:space="preserve"> é uma cidade no centro do Mali, na entrada do Deserto do Saara. Originou-se no século 5º e teve seu apogeu, como entreposto comercial e centro de difusão da cultura islâmica, nos séculos 15 e 16. Em 1988, a Unesco incluiu </w:t>
      </w:r>
      <w:proofErr w:type="spellStart"/>
      <w:r w:rsidRPr="005C6ACC">
        <w:rPr>
          <w:rFonts w:ascii="Cambria" w:hAnsi="Cambria"/>
          <w:color w:val="0000FF"/>
        </w:rPr>
        <w:t>Timbuktu</w:t>
      </w:r>
      <w:proofErr w:type="spellEnd"/>
      <w:r w:rsidRPr="005C6ACC">
        <w:rPr>
          <w:rFonts w:ascii="Cambria" w:hAnsi="Cambria"/>
          <w:color w:val="0000FF"/>
        </w:rPr>
        <w:t xml:space="preserve"> na lista do Patrimônio Comum da Humanidade.</w:t>
      </w:r>
    </w:p>
    <w:p w14:paraId="0672B6CD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 xml:space="preserve">Em abril de 2012, a cidade foi invadida e caiu sob o controle do Movimento Nacional para a Liberação do </w:t>
      </w:r>
      <w:proofErr w:type="spellStart"/>
      <w:r w:rsidRPr="005C6ACC">
        <w:rPr>
          <w:rFonts w:ascii="Cambria" w:hAnsi="Cambria"/>
          <w:color w:val="0000FF"/>
        </w:rPr>
        <w:t>Azawad</w:t>
      </w:r>
      <w:proofErr w:type="spellEnd"/>
      <w:r w:rsidRPr="005C6ACC">
        <w:rPr>
          <w:rFonts w:ascii="Cambria" w:hAnsi="Cambria"/>
          <w:color w:val="0000FF"/>
        </w:rPr>
        <w:t xml:space="preserve"> e do </w:t>
      </w:r>
      <w:proofErr w:type="spellStart"/>
      <w:r w:rsidRPr="005C6ACC">
        <w:rPr>
          <w:rFonts w:ascii="Cambria" w:hAnsi="Cambria"/>
          <w:color w:val="0000FF"/>
        </w:rPr>
        <w:t>Ansar</w:t>
      </w:r>
      <w:proofErr w:type="spellEnd"/>
      <w:r w:rsidRPr="005C6ACC">
        <w:rPr>
          <w:rFonts w:ascii="Cambria" w:hAnsi="Cambria"/>
          <w:color w:val="0000FF"/>
        </w:rPr>
        <w:t xml:space="preserve"> Dine, grupos fundamentalistas armados, que instituíram observância estrita da lei religiosa islâmica. Proibiram qualquer tipo de música, destruíram monumentos e documentos centenários que consideraram blasfemos e apedrejaram mães solteiras.</w:t>
      </w:r>
    </w:p>
    <w:p w14:paraId="16F02CA6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 xml:space="preserve">Nos últimos dias, após dez meses de ocupação, as autoridades do Mali, com a ajuda de tropas francesas, conseguiram retomar o controle da cidade. A lei nacional foi reinstituída, e a população de </w:t>
      </w:r>
      <w:proofErr w:type="spellStart"/>
      <w:r w:rsidRPr="005C6ACC">
        <w:rPr>
          <w:rFonts w:ascii="Cambria" w:hAnsi="Cambria"/>
          <w:color w:val="0000FF"/>
        </w:rPr>
        <w:t>Timbuktu</w:t>
      </w:r>
      <w:proofErr w:type="spellEnd"/>
      <w:r w:rsidRPr="005C6ACC">
        <w:rPr>
          <w:rFonts w:ascii="Cambria" w:hAnsi="Cambria"/>
          <w:color w:val="0000FF"/>
        </w:rPr>
        <w:t xml:space="preserve"> pode voltar a ouvir música.</w:t>
      </w:r>
    </w:p>
    <w:p w14:paraId="16EDA344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 xml:space="preserve">O processo de controle do governo pela religião, que, em </w:t>
      </w:r>
      <w:proofErr w:type="spellStart"/>
      <w:r w:rsidRPr="005C6ACC">
        <w:rPr>
          <w:rFonts w:ascii="Cambria" w:hAnsi="Cambria"/>
          <w:color w:val="0000FF"/>
        </w:rPr>
        <w:t>Timbuktu</w:t>
      </w:r>
      <w:proofErr w:type="spellEnd"/>
      <w:r w:rsidRPr="005C6ACC">
        <w:rPr>
          <w:rFonts w:ascii="Cambria" w:hAnsi="Cambria"/>
          <w:color w:val="0000FF"/>
        </w:rPr>
        <w:t>, sucedeu de forma brusca e radical, ocorre em muitas outras partes do mundo, de modo mais lento e sutil, mas igualmente insidioso. É sempre o mesmo fenômeno: a religião querendo deixar de ser a lei de Deus para ser a lei de todos.</w:t>
      </w:r>
    </w:p>
    <w:p w14:paraId="359D1BB4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 xml:space="preserve">Em vários países, grupos religiosos buscam articular-se politicamente. Partidos </w:t>
      </w:r>
      <w:proofErr w:type="spellStart"/>
      <w:r w:rsidRPr="005C6ACC">
        <w:rPr>
          <w:rFonts w:ascii="Cambria" w:hAnsi="Cambria"/>
          <w:color w:val="0000FF"/>
        </w:rPr>
        <w:t>ultraortodoxos</w:t>
      </w:r>
      <w:proofErr w:type="spellEnd"/>
      <w:r w:rsidRPr="005C6ACC">
        <w:rPr>
          <w:rFonts w:ascii="Cambria" w:hAnsi="Cambria"/>
          <w:color w:val="0000FF"/>
        </w:rPr>
        <w:t xml:space="preserve"> detêm 18 dos 120 assentos do Parlamento de Israel. O partido islâmico da Irmandade Muçulmana controla o governo do Egito. Ao mesmo tempo, fundamentalistas assumem ares de superioridade moral e se arrogam a missão de impor, ainda que de forma violenta, uma moralidade baseada na fé, na qual a racionalidade não tem lugar.</w:t>
      </w:r>
    </w:p>
    <w:p w14:paraId="673CA47A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>O radical em Jerusalém que cospe na garota de oito anos porque ela não está vestida decentemente é o mesmo que, no Brasil, destrói o centro religioso de matriz africana e, no Paquistão, alveja a cabeça da menina que quer acesso à educação. Desqualifica-se a diversidade com argumentos que remontam à Idade Média e às Guerras Santas.</w:t>
      </w:r>
    </w:p>
    <w:p w14:paraId="1C7EBF3A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>Na democracia, há espaço para todo tipo de expressão, inclusive as radicais. Mas não para a intolerância. A maioria governa, mas as minorias devem ter direitos assegurados. É essa a regra de ouro, é o que faz o sistema democrático funcionar. Ninguém é melhor que ninguém. Todos são iguais perante a lei.</w:t>
      </w:r>
    </w:p>
    <w:p w14:paraId="457AE4EB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lastRenderedPageBreak/>
        <w:t>Garantir que, no tratamento da coisa pública, não haja lugar para proselitismo religioso é uma tarefa difícil, mas que se impõe aos líderes políticos e aos defensores da democracia. Em seu segundo discurso de posse, o presidente norte-americano, Barack Obama, comentou sobre as dificuldades de se negociar com quem se considera emissário direto de Deus.</w:t>
      </w:r>
    </w:p>
    <w:p w14:paraId="16ACE4D7" w14:textId="77777777" w:rsidR="00E975A0" w:rsidRPr="005C6ACC" w:rsidRDefault="00E975A0" w:rsidP="005C6ACC">
      <w:pPr>
        <w:pStyle w:val="NormalWeb"/>
        <w:spacing w:after="300" w:afterAutospacing="0" w:line="360" w:lineRule="atLeast"/>
        <w:jc w:val="both"/>
        <w:rPr>
          <w:rFonts w:ascii="Cambria" w:hAnsi="Cambria"/>
          <w:color w:val="0000FF"/>
        </w:rPr>
      </w:pPr>
      <w:r w:rsidRPr="005C6ACC">
        <w:rPr>
          <w:rFonts w:ascii="Cambria" w:hAnsi="Cambria"/>
          <w:color w:val="0000FF"/>
        </w:rPr>
        <w:t xml:space="preserve">A </w:t>
      </w:r>
      <w:proofErr w:type="gramStart"/>
      <w:r w:rsidRPr="005C6ACC">
        <w:rPr>
          <w:rFonts w:ascii="Cambria" w:hAnsi="Cambria"/>
          <w:color w:val="0000FF"/>
        </w:rPr>
        <w:t>história da humanidade</w:t>
      </w:r>
      <w:proofErr w:type="gramEnd"/>
      <w:r w:rsidRPr="005C6ACC">
        <w:rPr>
          <w:rFonts w:ascii="Cambria" w:hAnsi="Cambria"/>
          <w:color w:val="0000FF"/>
        </w:rPr>
        <w:t xml:space="preserve"> está repleta de exemplos negativos da influência da religião no Estado. A separação entre igrejas e governo é salvaguarda da democracia e uma conquista valiosa da civilização. A época em que religião e Estado se misturavam já passou. Os tempos da Santa Inquisição não deixaram boas lembranças. Ninguém quer voltar para lá.</w:t>
      </w:r>
    </w:p>
    <w:p w14:paraId="3E69F886" w14:textId="3A0217F8" w:rsidR="00E975A0" w:rsidRPr="005C6ACC" w:rsidRDefault="00E975A0" w:rsidP="005C6ACC">
      <w:pPr>
        <w:pStyle w:val="tagline"/>
        <w:spacing w:after="300" w:afterAutospacing="0" w:line="288" w:lineRule="atLeast"/>
        <w:jc w:val="both"/>
        <w:rPr>
          <w:rFonts w:ascii="Cambria" w:hAnsi="Cambria" w:cs="Helvetica"/>
          <w:b/>
          <w:bCs/>
          <w:color w:val="0000FF"/>
        </w:rPr>
      </w:pPr>
      <w:r w:rsidRPr="005C6ACC">
        <w:rPr>
          <w:rFonts w:ascii="Cambria" w:hAnsi="Cambria" w:cs="Helvetica"/>
          <w:b/>
          <w:bCs/>
          <w:color w:val="0000FF"/>
        </w:rPr>
        <w:t>ALEXANDRE VIDAL PORTO é escritor e diplomata. Este artigo reflete apenas as opiniões do autor.</w:t>
      </w:r>
    </w:p>
    <w:sectPr w:rsidR="00E975A0" w:rsidRPr="005C6ACC" w:rsidSect="005C6A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0"/>
    <w:rsid w:val="005C6ACC"/>
    <w:rsid w:val="00E975A0"/>
    <w:rsid w:val="00F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159E"/>
  <w15:chartTrackingRefBased/>
  <w15:docId w15:val="{113C92B0-A7A6-4FE4-89AC-078E033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7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5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75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gline">
    <w:name w:val="tagline"/>
    <w:basedOn w:val="Normal"/>
    <w:rsid w:val="00E9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Pires</dc:creator>
  <cp:keywords/>
  <dc:description/>
  <cp:lastModifiedBy>Julio Pires</cp:lastModifiedBy>
  <cp:revision>2</cp:revision>
  <dcterms:created xsi:type="dcterms:W3CDTF">2020-09-11T10:31:00Z</dcterms:created>
  <dcterms:modified xsi:type="dcterms:W3CDTF">2020-09-11T10:36:00Z</dcterms:modified>
</cp:coreProperties>
</file>