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Arial" w:hAnsi="Arial" w:cs="Arial"/>
          <w:sz w:val="22"/>
          <w:szCs w:val="22"/>
          <w:highlight w:val="yellow"/>
          <w:lang w:val="pt-BR"/>
        </w:rPr>
      </w:pPr>
      <w:r>
        <w:rPr>
          <w:rFonts w:ascii="Arial" w:hAnsi="Arial" w:cs="Arial"/>
          <w:color w:val="FF0000"/>
          <w:sz w:val="22"/>
          <w:szCs w:val="22"/>
          <w:lang w:val="pt-BR"/>
        </w:rPr>
        <w:t>Aula: Análise térmica dos materiais</w:t>
      </w:r>
      <w:r>
        <w:rPr>
          <w:rFonts w:hint="default" w:ascii="Arial" w:hAnsi="Arial" w:cs="Arial"/>
          <w:color w:val="FF0000"/>
          <w:sz w:val="22"/>
          <w:szCs w:val="22"/>
          <w:lang w:val="pt-BR"/>
        </w:rPr>
        <w:t xml:space="preserve">, </w:t>
      </w:r>
      <w:r>
        <w:rPr>
          <w:rFonts w:hint="default" w:ascii="Arial" w:hAnsi="Arial" w:cs="Arial"/>
          <w:color w:val="auto"/>
          <w:sz w:val="22"/>
          <w:szCs w:val="22"/>
          <w:highlight w:val="yellow"/>
          <w:lang w:val="pt-BR"/>
        </w:rPr>
        <w:t>p</w:t>
      </w:r>
      <w:r>
        <w:rPr>
          <w:rFonts w:ascii="Arial" w:hAnsi="Arial" w:cs="Arial"/>
          <w:sz w:val="22"/>
          <w:szCs w:val="22"/>
          <w:highlight w:val="yellow"/>
          <w:lang w:val="pt-BR"/>
        </w:rPr>
        <w:t>arte 2: técnicas</w:t>
      </w:r>
    </w:p>
    <w:p>
      <w:pPr>
        <w:jc w:val="center"/>
        <w:rPr>
          <w:rFonts w:ascii="Arial" w:hAnsi="Arial" w:cs="Arial"/>
          <w:sz w:val="22"/>
          <w:szCs w:val="22"/>
          <w:highlight w:val="yellow"/>
          <w:lang w:val="pt-BR"/>
        </w:rPr>
      </w:pPr>
    </w:p>
    <w:p>
      <w:pPr>
        <w:jc w:val="center"/>
        <w:rPr>
          <w:rFonts w:ascii="Arial" w:hAnsi="Arial" w:cs="Arial"/>
          <w:sz w:val="22"/>
          <w:szCs w:val="22"/>
          <w:highlight w:val="yellow"/>
          <w:lang w:val="pt-BR"/>
        </w:rPr>
      </w:pPr>
    </w:p>
    <w:p>
      <w:pPr>
        <w:spacing w:line="360" w:lineRule="auto"/>
        <w:jc w:val="center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drawing>
          <wp:inline distT="0" distB="0" distL="0" distR="0">
            <wp:extent cx="5713095" cy="4157980"/>
            <wp:effectExtent l="0" t="0" r="1905" b="13970"/>
            <wp:docPr id="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drawing>
          <wp:inline distT="0" distB="0" distL="0" distR="0">
            <wp:extent cx="6046470" cy="3764280"/>
            <wp:effectExtent l="0" t="0" r="11430" b="7620"/>
            <wp:docPr id="50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m 3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37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5671820" cy="3333115"/>
            <wp:effectExtent l="0" t="0" r="5080" b="635"/>
            <wp:docPr id="1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1820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2"/>
          <w:szCs w:val="22"/>
          <w:highlight w:val="yellow"/>
          <w:lang w:val="pt-BR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2"/>
          <w:szCs w:val="22"/>
          <w:highlight w:val="yellow"/>
          <w:lang w:val="pt-BR"/>
        </w:rPr>
      </w:pPr>
    </w:p>
    <w:p>
      <w:pPr>
        <w:rPr>
          <w:rFonts w:ascii="Arial" w:hAnsi="Arial" w:cs="Arial"/>
          <w:color w:val="000000"/>
          <w:sz w:val="22"/>
          <w:szCs w:val="22"/>
          <w:highlight w:val="yellow"/>
          <w:lang w:val="pt-BR"/>
        </w:rPr>
      </w:pPr>
      <w:r>
        <w:rPr>
          <w:rFonts w:ascii="Arial" w:hAnsi="Arial" w:cs="Arial"/>
          <w:color w:val="000000"/>
          <w:sz w:val="22"/>
          <w:szCs w:val="22"/>
          <w:highlight w:val="yellow"/>
          <w:lang w:val="pt-BR"/>
        </w:rPr>
        <w:br w:type="page"/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FF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highlight w:val="yellow"/>
          <w:lang w:val="pt-BR"/>
        </w:rPr>
        <w:t>1) TGA (análise termogravimétrica)</w:t>
      </w:r>
      <w:r>
        <w:rPr>
          <w:rFonts w:hint="default" w:ascii="Arial" w:hAnsi="Arial" w:cs="Arial"/>
          <w:color w:val="000000"/>
          <w:sz w:val="22"/>
          <w:szCs w:val="22"/>
          <w:highlight w:val="yellow"/>
          <w:lang w:val="pt-BR"/>
        </w:rPr>
        <w:t xml:space="preserve">, </w:t>
      </w:r>
      <w:r>
        <w:rPr>
          <w:rFonts w:ascii="Arial" w:hAnsi="Arial" w:cs="Arial"/>
          <w:color w:val="FF0000"/>
          <w:sz w:val="22"/>
          <w:szCs w:val="22"/>
          <w:lang w:val="pt-BR"/>
        </w:rPr>
        <w:t>GRAVIMETRIA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color w:val="000000"/>
          <w:sz w:val="22"/>
          <w:szCs w:val="22"/>
          <w:lang w:val="pt-BR"/>
        </w:rPr>
        <w:t>M</w:t>
      </w:r>
      <w:r>
        <w:rPr>
          <w:rFonts w:ascii="Arial" w:hAnsi="Arial" w:cs="Arial"/>
          <w:color w:val="000000"/>
          <w:sz w:val="22"/>
          <w:szCs w:val="22"/>
          <w:lang w:val="pt-BR"/>
        </w:rPr>
        <w:t>edidas diretas e indiretas da massa ou d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a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variação de massa.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2730500" cy="1833245"/>
            <wp:effectExtent l="0" t="0" r="12700" b="14605"/>
            <wp:docPr id="31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0500" cy="183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2638425" cy="2148205"/>
            <wp:effectExtent l="0" t="0" r="9525" b="4445"/>
            <wp:docPr id="3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4556125" cy="1771650"/>
            <wp:effectExtent l="0" t="0" r="15875" b="0"/>
            <wp:docPr id="3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m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61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2"/>
          <w:szCs w:val="22"/>
          <w:lang w:val="pt-BR"/>
        </w:rPr>
      </w:pPr>
      <w:r>
        <w:rPr>
          <w:rFonts w:ascii="Arial" w:hAnsi="Arial" w:cs="Arial"/>
          <w:b/>
          <w:bCs/>
          <w:color w:val="000000"/>
          <w:sz w:val="22"/>
          <w:szCs w:val="22"/>
          <w:highlight w:val="yellow"/>
          <w:lang w:val="pt-BR"/>
        </w:rPr>
        <w:t>TGA</w:t>
      </w:r>
      <w:r>
        <w:rPr>
          <w:rFonts w:ascii="Arial" w:hAnsi="Arial" w:cs="Arial"/>
          <w:b/>
          <w:bCs/>
          <w:color w:val="000000"/>
          <w:sz w:val="22"/>
          <w:szCs w:val="22"/>
          <w:lang w:val="pt-BR"/>
        </w:rPr>
        <w:t>: monitoramento de mudança</w:t>
      </w:r>
      <w:r>
        <w:rPr>
          <w:rFonts w:hint="default" w:ascii="Arial" w:hAnsi="Arial" w:cs="Arial"/>
          <w:b/>
          <w:bCs/>
          <w:color w:val="000000"/>
          <w:sz w:val="22"/>
          <w:szCs w:val="22"/>
          <w:lang w:val="pt-BR"/>
        </w:rPr>
        <w:t>s</w:t>
      </w:r>
      <w:r>
        <w:rPr>
          <w:rFonts w:ascii="Arial" w:hAnsi="Arial" w:cs="Arial"/>
          <w:b/>
          <w:bCs/>
          <w:color w:val="000000"/>
          <w:sz w:val="22"/>
          <w:szCs w:val="22"/>
          <w:lang w:val="pt-BR"/>
        </w:rPr>
        <w:t xml:space="preserve"> de massa em função da temperatura (v</w:t>
      </w:r>
      <w:r>
        <w:rPr>
          <w:rFonts w:ascii="Arial" w:hAnsi="Arial" w:cs="Arial"/>
          <w:b/>
          <w:bCs/>
          <w:sz w:val="22"/>
          <w:szCs w:val="22"/>
          <w:lang w:val="pt-BR"/>
        </w:rPr>
        <w:t>olatilização).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• Compostos </w:t>
      </w:r>
      <w:r>
        <w:rPr>
          <w:rFonts w:ascii="Arial" w:hAnsi="Arial" w:cs="Arial"/>
          <w:sz w:val="22"/>
          <w:szCs w:val="22"/>
          <w:u w:val="single"/>
          <w:lang w:val="pt-BR"/>
        </w:rPr>
        <w:t>orgânicos</w:t>
      </w:r>
      <w:r>
        <w:rPr>
          <w:rFonts w:ascii="Arial" w:hAnsi="Arial" w:cs="Arial"/>
          <w:sz w:val="22"/>
          <w:szCs w:val="22"/>
          <w:lang w:val="pt-BR"/>
        </w:rPr>
        <w:t>: produtos gerados por combustão são, geralmente, CO</w:t>
      </w:r>
      <w:r>
        <w:rPr>
          <w:rFonts w:ascii="Arial" w:hAnsi="Arial" w:cs="Arial"/>
          <w:sz w:val="22"/>
          <w:szCs w:val="22"/>
          <w:vertAlign w:val="subscript"/>
          <w:lang w:val="pt-BR"/>
        </w:rPr>
        <w:t>2</w:t>
      </w:r>
      <w:r>
        <w:rPr>
          <w:rFonts w:ascii="Arial" w:hAnsi="Arial" w:cs="Arial"/>
          <w:sz w:val="22"/>
          <w:szCs w:val="22"/>
          <w:lang w:val="pt-BR"/>
        </w:rPr>
        <w:t>, H</w:t>
      </w:r>
      <w:r>
        <w:rPr>
          <w:rFonts w:ascii="Arial" w:hAnsi="Arial" w:cs="Arial"/>
          <w:sz w:val="22"/>
          <w:szCs w:val="22"/>
          <w:vertAlign w:val="subscript"/>
          <w:lang w:val="pt-BR"/>
        </w:rPr>
        <w:t>2</w:t>
      </w:r>
      <w:r>
        <w:rPr>
          <w:rFonts w:ascii="Arial" w:hAnsi="Arial" w:cs="Arial"/>
          <w:sz w:val="22"/>
          <w:szCs w:val="22"/>
          <w:lang w:val="pt-BR"/>
        </w:rPr>
        <w:t>O e N</w:t>
      </w:r>
      <w:r>
        <w:rPr>
          <w:rFonts w:ascii="Arial" w:hAnsi="Arial" w:cs="Arial"/>
          <w:sz w:val="22"/>
          <w:szCs w:val="22"/>
          <w:vertAlign w:val="subscript"/>
          <w:lang w:val="pt-BR"/>
        </w:rPr>
        <w:t>2</w:t>
      </w:r>
      <w:r>
        <w:rPr>
          <w:rFonts w:ascii="Arial" w:hAnsi="Arial" w:cs="Arial"/>
          <w:sz w:val="22"/>
          <w:szCs w:val="22"/>
          <w:lang w:val="pt-BR"/>
        </w:rPr>
        <w:t>.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• Compostos </w:t>
      </w:r>
      <w:r>
        <w:rPr>
          <w:rFonts w:ascii="Arial" w:hAnsi="Arial" w:cs="Arial"/>
          <w:sz w:val="22"/>
          <w:szCs w:val="22"/>
          <w:u w:val="single"/>
          <w:lang w:val="pt-BR"/>
        </w:rPr>
        <w:t>inorgânicos</w:t>
      </w:r>
      <w:r>
        <w:rPr>
          <w:rFonts w:ascii="Arial" w:hAnsi="Arial" w:cs="Arial"/>
          <w:sz w:val="22"/>
          <w:szCs w:val="22"/>
          <w:lang w:val="pt-BR"/>
        </w:rPr>
        <w:t>: produtos de volatilização dependem da temperatura.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Análise gases produzidos: técnicas acopladas.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Dependência: tipo de amostra (pó, filme</w:t>
      </w:r>
      <w:r>
        <w:rPr>
          <w:rFonts w:hint="default" w:ascii="Arial" w:hAnsi="Arial" w:cs="Arial"/>
          <w:sz w:val="22"/>
          <w:szCs w:val="22"/>
          <w:lang w:val="pt-BR"/>
        </w:rPr>
        <w:t>,</w:t>
      </w:r>
      <w:r>
        <w:rPr>
          <w:rFonts w:ascii="Arial" w:hAnsi="Arial" w:cs="Arial"/>
          <w:sz w:val="22"/>
          <w:szCs w:val="22"/>
          <w:lang w:val="pt-BR"/>
        </w:rPr>
        <w:t xml:space="preserve"> compactação pó), atmosfera, velocidade de aquecimento.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p>
      <w:pPr>
        <w:pStyle w:val="4"/>
        <w:spacing w:before="0" w:beforeAutospacing="0" w:after="0" w:afterAutospacing="0"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highlight w:val="yellow"/>
        </w:rPr>
        <w:t>Aplicação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hint="default" w:ascii="Arial" w:hAnsi="Arial" w:cs="Arial"/>
          <w:sz w:val="22"/>
          <w:szCs w:val="22"/>
          <w:lang w:val="pt-BR"/>
        </w:rPr>
        <w:t>d</w:t>
      </w:r>
      <w:r>
        <w:rPr>
          <w:rFonts w:ascii="Arial" w:hAnsi="Arial" w:cs="Arial"/>
          <w:sz w:val="22"/>
          <w:szCs w:val="22"/>
        </w:rPr>
        <w:t>ecomposição</w:t>
      </w:r>
      <w:r>
        <w:rPr>
          <w:rFonts w:hint="default" w:ascii="Arial" w:hAnsi="Arial" w:cs="Arial"/>
          <w:sz w:val="22"/>
          <w:szCs w:val="22"/>
          <w:lang w:val="pt-BR"/>
        </w:rPr>
        <w:t xml:space="preserve"> química</w:t>
      </w:r>
      <w:r>
        <w:rPr>
          <w:rFonts w:ascii="Arial" w:hAnsi="Arial" w:cs="Arial"/>
          <w:sz w:val="22"/>
          <w:szCs w:val="22"/>
        </w:rPr>
        <w:t xml:space="preserve">, corrosão, oxidação, estabilidade, composição da amostra, cinética de reação, determinação de pureza. </w:t>
      </w:r>
    </w:p>
    <w:p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highlight w:val="yellow"/>
          <w:lang w:val="pt-BR"/>
        </w:rPr>
        <w:t>Partes do equipamento: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>- balança analítica, forno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/</w:t>
      </w:r>
      <w:r>
        <w:rPr>
          <w:rFonts w:ascii="Arial" w:hAnsi="Arial" w:cs="Arial"/>
          <w:color w:val="000000"/>
          <w:sz w:val="22"/>
          <w:szCs w:val="22"/>
          <w:lang w:val="pt-BR"/>
        </w:rPr>
        <w:t>atmosfera inerte, computador (controle e aquisição de dados).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 xml:space="preserve">Gráfico: ordenada: geralmente percentual de massa e não massa total, o que permite comparação de várias curvas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em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base normalizada. 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>Quando se varia a massa inicial entre experimentos ocorrem mudanças significativas nas curvas TGA.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color w:val="000000"/>
          <w:sz w:val="22"/>
          <w:szCs w:val="22"/>
          <w:lang w:val="pt-BR"/>
        </w:rPr>
        <w:t>C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urvas </w:t>
      </w:r>
      <w:r>
        <w:rPr>
          <w:rFonts w:ascii="Arial" w:hAnsi="Arial" w:cs="Arial"/>
          <w:color w:val="FF0000"/>
          <w:sz w:val="22"/>
          <w:szCs w:val="22"/>
          <w:highlight w:val="yellow"/>
          <w:lang w:val="pt-BR"/>
        </w:rPr>
        <w:t>DTG</w:t>
      </w:r>
      <w:r>
        <w:rPr>
          <w:rFonts w:ascii="Arial" w:hAnsi="Arial" w:cs="Arial"/>
          <w:color w:val="FF0000"/>
          <w:sz w:val="22"/>
          <w:szCs w:val="22"/>
          <w:lang w:val="pt-BR"/>
        </w:rPr>
        <w:t xml:space="preserve">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melhor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resolução e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 xml:space="preserve">permitem comparação com outras curvas obtidas em </w:t>
      </w:r>
      <w:r>
        <w:rPr>
          <w:rFonts w:ascii="Arial" w:hAnsi="Arial" w:cs="Arial"/>
          <w:color w:val="000000"/>
          <w:sz w:val="22"/>
          <w:szCs w:val="22"/>
          <w:lang w:val="pt-BR"/>
        </w:rPr>
        <w:t>outras medidas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 xml:space="preserve"> -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interesse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:</w:t>
      </w:r>
      <w:r>
        <w:rPr>
          <w:rFonts w:ascii="Arial" w:hAnsi="Arial" w:cs="Arial"/>
          <w:color w:val="000000"/>
          <w:sz w:val="22"/>
          <w:szCs w:val="22"/>
          <w:lang w:val="pt-BR"/>
        </w:rPr>
        <w:t>cinética das reações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 xml:space="preserve"> - 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taxa efetiva da reação. 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4302760" cy="2437765"/>
            <wp:effectExtent l="0" t="0" r="2540" b="635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1263650" cy="878840"/>
            <wp:effectExtent l="0" t="0" r="12700" b="16510"/>
            <wp:docPr id="20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3650" cy="87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>Cadinho: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pt-BR"/>
        </w:rPr>
        <w:t>escolha depende da temperatura máxima, natureza química da amostra, quantidade e reatividade. O cadinho pode ser de Pt, alumina, quartzo ou vidro; achatados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para amostras em pó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e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com paredes mais altas para evitar inchamento ou perda de amostra.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>Equipamento típico: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ab/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ab/>
      </w: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5447665" cy="3237865"/>
            <wp:effectExtent l="0" t="0" r="635" b="635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7665" cy="323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</w:p>
    <w:p>
      <w:pPr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Durante decomposição térmica, cada perda de massa volátil é visualizada como etapa no termograma.</w:t>
      </w: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autoSpaceDE w:val="0"/>
        <w:autoSpaceDN w:val="0"/>
        <w:adjustRightInd w:val="0"/>
        <w:spacing w:line="360" w:lineRule="auto"/>
        <w:ind w:left="0" w:leftChars="0" w:firstLine="0" w:firstLineChars="0"/>
        <w:jc w:val="left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 xml:space="preserve">Exemplo: decomposição de oxalato de cálcio monoidratado </w:t>
      </w:r>
      <w:r>
        <w:rPr>
          <w:rFonts w:ascii="Arial" w:hAnsi="Arial" w:cs="Arial"/>
          <w:color w:val="000000"/>
          <w:sz w:val="22"/>
          <w:szCs w:val="22"/>
          <w:highlight w:val="yellow"/>
          <w:lang w:val="pt-BR"/>
        </w:rPr>
        <w:t>(reação modelo).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4920615" cy="3056255"/>
            <wp:effectExtent l="0" t="0" r="13335" b="10795"/>
            <wp:docPr id="2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m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20615" cy="305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lang w:val="pt-BR"/>
        </w:rPr>
        <w:t>Skoog</w:t>
      </w:r>
    </w:p>
    <w:p>
      <w:pPr>
        <w:pStyle w:val="16"/>
        <w:autoSpaceDE w:val="0"/>
        <w:autoSpaceDN w:val="0"/>
        <w:adjustRightInd w:val="0"/>
        <w:spacing w:line="360" w:lineRule="auto"/>
        <w:ind w:left="108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5323840" cy="3226435"/>
            <wp:effectExtent l="0" t="0" r="10160" b="12065"/>
            <wp:docPr id="24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m 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16"/>
        <w:autoSpaceDE w:val="0"/>
        <w:autoSpaceDN w:val="0"/>
        <w:adjustRightInd w:val="0"/>
        <w:spacing w:line="360" w:lineRule="auto"/>
        <w:ind w:left="0" w:leftChars="0" w:firstLine="0" w:firstLineChars="0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5269230" cy="3237230"/>
            <wp:effectExtent l="0" t="0" r="7620" b="1270"/>
            <wp:docPr id="51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m 3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37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cs="Arial"/>
          <w:color w:val="000000"/>
          <w:sz w:val="22"/>
          <w:szCs w:val="22"/>
          <w:highlight w:val="yellow"/>
          <w:lang w:val="pt-BR"/>
        </w:rPr>
      </w:pPr>
      <w:r>
        <w:rPr>
          <w:rFonts w:ascii="Arial" w:hAnsi="Arial" w:cs="Arial"/>
          <w:color w:val="000000"/>
          <w:sz w:val="22"/>
          <w:szCs w:val="22"/>
          <w:highlight w:val="yellow"/>
          <w:lang w:val="pt-BR"/>
        </w:rPr>
        <w:br w:type="page"/>
      </w:r>
    </w:p>
    <w:p>
      <w:pPr>
        <w:numPr>
          <w:ilvl w:val="0"/>
          <w:numId w:val="1"/>
        </w:numPr>
        <w:autoSpaceDE w:val="0"/>
        <w:autoSpaceDN w:val="0"/>
        <w:adjustRightInd w:val="0"/>
        <w:spacing w:line="360" w:lineRule="auto"/>
        <w:ind w:firstLine="720"/>
        <w:jc w:val="center"/>
        <w:rPr>
          <w:rFonts w:ascii="Arial" w:hAnsi="Arial" w:cs="Arial"/>
          <w:color w:val="000000"/>
          <w:sz w:val="22"/>
          <w:szCs w:val="22"/>
          <w:highlight w:val="yellow"/>
          <w:lang w:val="pt-BR"/>
        </w:rPr>
      </w:pPr>
      <w:r>
        <w:rPr>
          <w:rFonts w:ascii="Arial" w:hAnsi="Arial" w:cs="Arial"/>
          <w:color w:val="000000"/>
          <w:sz w:val="22"/>
          <w:szCs w:val="22"/>
          <w:highlight w:val="yellow"/>
          <w:lang w:val="pt-BR"/>
        </w:rPr>
        <w:t>DTA (análise térmica diferencial)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highlight w:val="yellow"/>
          <w:lang w:val="pt-BR"/>
        </w:rPr>
      </w:pPr>
    </w:p>
    <w:p>
      <w:pPr>
        <w:autoSpaceDE w:val="0"/>
        <w:autoSpaceDN w:val="0"/>
        <w:adjustRightInd w:val="0"/>
        <w:spacing w:line="360" w:lineRule="auto"/>
        <w:ind w:left="0" w:leftChars="0" w:right="-134" w:rightChars="-56" w:firstLine="0" w:firstLineChars="0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4728845" cy="6686550"/>
            <wp:effectExtent l="0" t="0" r="14605" b="0"/>
            <wp:docPr id="36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m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28845" cy="668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br w:type="textWrapping"/>
      </w:r>
    </w:p>
    <w:p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FF0000"/>
          <w:sz w:val="22"/>
          <w:szCs w:val="22"/>
          <w:lang w:val="pt-BR"/>
        </w:rPr>
        <w:t>DTA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: obtida como diferença de temperatura entre amostra (A) e referência (R) (alumina em pó ou cadinho vazio)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em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programação controlada de temperatura.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C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urva DTA é registrada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com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temperatura ou tempo na abscissa e μV na ordenada, que é diferença de temperatura dada em μV pelo uso de termopares. Durante início do programa de aquecimento, as temperaturas da amostra e da referência se mantêm iguais até que ocorra alguma alteração física ou química na amostra. </w:t>
      </w:r>
    </w:p>
    <w:p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color w:val="000000"/>
          <w:sz w:val="22"/>
          <w:szCs w:val="22"/>
          <w:lang w:val="pt-BR"/>
        </w:rPr>
        <w:t>R</w:t>
      </w:r>
      <w:r>
        <w:rPr>
          <w:rFonts w:ascii="Arial" w:hAnsi="Arial" w:cs="Arial"/>
          <w:color w:val="000000"/>
          <w:sz w:val="22"/>
          <w:szCs w:val="22"/>
          <w:lang w:val="pt-BR"/>
        </w:rPr>
        <w:t>eação exotérmica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: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amostra libera calor e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permanece,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por curto período de tempo com temperatura maior do que a da referência. 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color w:val="000000"/>
          <w:sz w:val="22"/>
          <w:szCs w:val="22"/>
          <w:lang w:val="pt-BR"/>
        </w:rPr>
        <w:t>R</w:t>
      </w:r>
      <w:r>
        <w:rPr>
          <w:rFonts w:ascii="Arial" w:hAnsi="Arial" w:cs="Arial"/>
          <w:color w:val="000000"/>
          <w:sz w:val="22"/>
          <w:szCs w:val="22"/>
          <w:lang w:val="pt-BR"/>
        </w:rPr>
        <w:t>eação endotérmica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: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temperatura da amostra temporariamente menor do que a da referência. 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 xml:space="preserve">Mudanças na amostra, tais como fusão, solidificação e cristalização, aparecem nos termogramas na forma de picos, sendo a variação na capacidade calorífica da amostra registrada como deslocamento da linha base. </w:t>
      </w:r>
    </w:p>
    <w:p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color w:val="000000"/>
          <w:sz w:val="22"/>
          <w:szCs w:val="22"/>
          <w:lang w:val="pt-BR"/>
        </w:rPr>
        <w:t>U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so principal da </w:t>
      </w:r>
      <w:r>
        <w:rPr>
          <w:rFonts w:ascii="Arial" w:hAnsi="Arial" w:cs="Arial"/>
          <w:color w:val="FF0000"/>
          <w:sz w:val="22"/>
          <w:szCs w:val="22"/>
          <w:lang w:val="pt-BR"/>
        </w:rPr>
        <w:t>DTA</w:t>
      </w:r>
      <w:r>
        <w:rPr>
          <w:rFonts w:hint="default" w:ascii="Arial" w:hAnsi="Arial" w:cs="Arial"/>
          <w:color w:val="FF0000"/>
          <w:sz w:val="22"/>
          <w:szCs w:val="22"/>
          <w:lang w:val="pt-BR"/>
        </w:rPr>
        <w:t>: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detecção da temperatura inicial dos processos térmicos, que se caracterizam como endotérmicos, exotérmicos, reversíveis ou irreversíveis, transições de primeira ordem ou de segunda ordem, etc. Estas informações, bem como sua a dependência em relação a uma atmosfera específica, fazem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 xml:space="preserve">com que </w:t>
      </w:r>
      <w:r>
        <w:rPr>
          <w:rFonts w:ascii="Arial" w:hAnsi="Arial" w:cs="Arial"/>
          <w:color w:val="000000"/>
          <w:sz w:val="22"/>
          <w:szCs w:val="22"/>
          <w:lang w:val="pt-BR"/>
        </w:rPr>
        <w:t>est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a técnica seja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importante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na determinação de diagramas de fase.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T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ransições de primeira ordem (endotérmicas ou exotérmicas) aparecem como picos nos termogramas, sendo a área do pico diretamente sob a curva mW/mg  proporcional à entalpia </w:t>
      </w:r>
      <w:r>
        <w:rPr>
          <w:rFonts w:ascii="Arial" w:hAnsi="Arial" w:cs="Arial"/>
          <w:color w:val="000000"/>
          <w:sz w:val="22"/>
          <w:szCs w:val="22"/>
        </w:rPr>
        <w:t>Δ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H envolvida no processo de reação, em KJ/Kg ou J/ g. </w:t>
      </w:r>
    </w:p>
    <w:p>
      <w:pPr>
        <w:pStyle w:val="6"/>
        <w:spacing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</w:p>
    <w:p>
      <w:pPr>
        <w:pStyle w:val="6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hint="default" w:ascii="Arial" w:hAnsi="Arial" w:cs="Arial"/>
          <w:color w:val="000000"/>
          <w:sz w:val="22"/>
          <w:szCs w:val="22"/>
          <w:lang w:val="pt-BR"/>
        </w:rPr>
        <w:t>T</w:t>
      </w:r>
      <w:r>
        <w:rPr>
          <w:rFonts w:ascii="Arial" w:hAnsi="Arial" w:cs="Arial"/>
          <w:color w:val="000000"/>
          <w:sz w:val="22"/>
          <w:szCs w:val="22"/>
        </w:rPr>
        <w:t>ransições de segunda ordem, tal como transição vítrea (T</w:t>
      </w:r>
      <w:r>
        <w:rPr>
          <w:rFonts w:ascii="Arial" w:hAnsi="Arial" w:cs="Arial"/>
          <w:color w:val="000000"/>
          <w:sz w:val="22"/>
          <w:szCs w:val="22"/>
          <w:vertAlign w:val="subscript"/>
        </w:rPr>
        <w:t>g</w:t>
      </w:r>
      <w:r>
        <w:rPr>
          <w:rFonts w:ascii="Arial" w:hAnsi="Arial" w:cs="Arial"/>
          <w:color w:val="000000"/>
          <w:sz w:val="22"/>
          <w:szCs w:val="22"/>
        </w:rPr>
        <w:t xml:space="preserve">), são observadas como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uma mudança</w:t>
      </w:r>
      <w:r>
        <w:rPr>
          <w:rFonts w:ascii="Arial" w:hAnsi="Arial" w:cs="Arial"/>
          <w:color w:val="000000"/>
          <w:sz w:val="22"/>
          <w:szCs w:val="22"/>
        </w:rPr>
        <w:t xml:space="preserve"> na linearidade da curva, geralmente chamados “degraus”. Isto ocorre porque não há mudança na entalpia, como em reações de fusão ou cristalização, mas somente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 xml:space="preserve">uma </w:t>
      </w:r>
      <w:r>
        <w:rPr>
          <w:rFonts w:ascii="Arial" w:hAnsi="Arial" w:cs="Arial"/>
          <w:color w:val="000000"/>
          <w:sz w:val="22"/>
          <w:szCs w:val="22"/>
        </w:rPr>
        <w:t xml:space="preserve">mudança na capacidade calorífica. </w:t>
      </w:r>
    </w:p>
    <w:p>
      <w:pPr>
        <w:pStyle w:val="6"/>
        <w:spacing w:line="360" w:lineRule="auto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drawing>
          <wp:inline distT="0" distB="0" distL="0" distR="0">
            <wp:extent cx="4429125" cy="3846195"/>
            <wp:effectExtent l="0" t="0" r="9525" b="1905"/>
            <wp:docPr id="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6"/>
        <w:spacing w:line="360" w:lineRule="auto"/>
        <w:ind w:firstLine="720"/>
        <w:jc w:val="both"/>
        <w:rPr>
          <w:rFonts w:ascii="Arial" w:hAnsi="Arial" w:cs="Arial"/>
          <w:sz w:val="22"/>
          <w:szCs w:val="22"/>
          <w:highlight w:val="yellow"/>
        </w:rPr>
      </w:pPr>
    </w:p>
    <w:p>
      <w:pPr>
        <w:pStyle w:val="6"/>
        <w:spacing w:line="360" w:lineRule="auto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highlight w:val="yellow"/>
        </w:rPr>
        <w:t>Equipamento</w:t>
      </w:r>
      <w:r>
        <w:rPr>
          <w:rFonts w:ascii="Arial" w:hAnsi="Arial" w:cs="Arial"/>
          <w:sz w:val="22"/>
          <w:szCs w:val="22"/>
        </w:rPr>
        <w:t>: 2 cadinhos e 2 sensores de temperatura (um em cada cadinho), sistema aquecido por 1 fonte de calor.</w:t>
      </w:r>
    </w:p>
    <w:p>
      <w:pPr>
        <w:pStyle w:val="7"/>
      </w:pPr>
    </w:p>
    <w:p>
      <w:pPr>
        <w:pStyle w:val="6"/>
        <w:spacing w:line="360" w:lineRule="auto"/>
        <w:ind w:firstLine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drawing>
          <wp:inline distT="0" distB="0" distL="0" distR="0">
            <wp:extent cx="1893570" cy="1581785"/>
            <wp:effectExtent l="0" t="0" r="11430" b="18415"/>
            <wp:docPr id="5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drawing>
          <wp:inline distT="0" distB="0" distL="0" distR="0">
            <wp:extent cx="2684780" cy="1586230"/>
            <wp:effectExtent l="0" t="0" r="1270" b="13970"/>
            <wp:docPr id="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m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4780" cy="158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drawing>
          <wp:inline distT="0" distB="0" distL="0" distR="0">
            <wp:extent cx="3615690" cy="2189480"/>
            <wp:effectExtent l="0" t="0" r="3810" b="1270"/>
            <wp:docPr id="29" name="Imagem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m 3"/>
                    <pic:cNvPicPr>
                      <a:picLocks noGrp="1"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569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highlight w:val="yellow"/>
          <w:lang w:val="pt-BR"/>
        </w:rPr>
        <w:t>3) Calorimetria diferencial de varredura (DSC)</w:t>
      </w:r>
    </w:p>
    <w:p>
      <w:pPr>
        <w:spacing w:line="360" w:lineRule="auto"/>
        <w:ind w:firstLine="708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Ao invés de medir diferença de temperatura entre amostra</w:t>
      </w:r>
      <w:r>
        <w:rPr>
          <w:rFonts w:hint="default" w:ascii="Arial" w:hAnsi="Arial" w:cs="Arial"/>
          <w:sz w:val="22"/>
          <w:szCs w:val="22"/>
          <w:lang w:val="pt-BR"/>
        </w:rPr>
        <w:t>/</w:t>
      </w:r>
      <w:r>
        <w:rPr>
          <w:rFonts w:ascii="Arial" w:hAnsi="Arial" w:cs="Arial"/>
          <w:sz w:val="22"/>
          <w:szCs w:val="22"/>
          <w:lang w:val="pt-BR"/>
        </w:rPr>
        <w:t xml:space="preserve">referência, sistema de controle aumenta imediatamente </w:t>
      </w:r>
      <w:r>
        <w:rPr>
          <w:rFonts w:hint="default" w:ascii="Arial" w:hAnsi="Arial" w:cs="Arial"/>
          <w:sz w:val="22"/>
          <w:szCs w:val="22"/>
          <w:lang w:val="pt-BR"/>
        </w:rPr>
        <w:t xml:space="preserve">a </w:t>
      </w:r>
      <w:r>
        <w:rPr>
          <w:rFonts w:ascii="Arial" w:hAnsi="Arial" w:cs="Arial"/>
          <w:sz w:val="22"/>
          <w:szCs w:val="22"/>
          <w:lang w:val="pt-BR"/>
        </w:rPr>
        <w:t xml:space="preserve">energia fornecida </w:t>
      </w:r>
      <w:r>
        <w:rPr>
          <w:rFonts w:ascii="Arial" w:hAnsi="Arial" w:cs="Arial"/>
          <w:i/>
          <w:iCs/>
          <w:sz w:val="22"/>
          <w:szCs w:val="22"/>
          <w:lang w:val="pt-BR"/>
        </w:rPr>
        <w:t xml:space="preserve">para </w:t>
      </w:r>
      <w:r>
        <w:rPr>
          <w:rFonts w:hint="default" w:ascii="Arial" w:hAnsi="Arial" w:cs="Arial"/>
          <w:i/>
          <w:iCs/>
          <w:sz w:val="22"/>
          <w:szCs w:val="22"/>
          <w:lang w:val="pt-BR"/>
        </w:rPr>
        <w:t xml:space="preserve">a </w:t>
      </w:r>
      <w:r>
        <w:rPr>
          <w:rFonts w:ascii="Arial" w:hAnsi="Arial" w:cs="Arial"/>
          <w:i/>
          <w:iCs/>
          <w:sz w:val="22"/>
          <w:szCs w:val="22"/>
          <w:lang w:val="pt-BR"/>
        </w:rPr>
        <w:t>amostra</w:t>
      </w:r>
      <w:r>
        <w:rPr>
          <w:rFonts w:ascii="Arial" w:hAnsi="Arial" w:cs="Arial"/>
          <w:sz w:val="22"/>
          <w:szCs w:val="22"/>
          <w:lang w:val="pt-BR"/>
        </w:rPr>
        <w:t xml:space="preserve"> quando </w:t>
      </w:r>
      <w:r>
        <w:rPr>
          <w:rFonts w:hint="default" w:ascii="Arial" w:hAnsi="Arial" w:cs="Arial"/>
          <w:sz w:val="22"/>
          <w:szCs w:val="22"/>
          <w:lang w:val="pt-BR"/>
        </w:rPr>
        <w:t xml:space="preserve">o </w:t>
      </w:r>
      <w:r>
        <w:rPr>
          <w:rFonts w:ascii="Arial" w:hAnsi="Arial" w:cs="Arial"/>
          <w:sz w:val="22"/>
          <w:szCs w:val="22"/>
          <w:lang w:val="pt-BR"/>
        </w:rPr>
        <w:t xml:space="preserve">processo é endotérmico e </w:t>
      </w:r>
      <w:r>
        <w:rPr>
          <w:rFonts w:ascii="Arial" w:hAnsi="Arial" w:cs="Arial"/>
          <w:i/>
          <w:iCs/>
          <w:sz w:val="22"/>
          <w:szCs w:val="22"/>
          <w:lang w:val="pt-BR"/>
        </w:rPr>
        <w:t>para a referência</w:t>
      </w:r>
      <w:r>
        <w:rPr>
          <w:rFonts w:hint="default" w:ascii="Arial" w:hAnsi="Arial" w:cs="Arial"/>
          <w:i/>
          <w:iCs/>
          <w:sz w:val="22"/>
          <w:szCs w:val="22"/>
          <w:lang w:val="pt-BR"/>
        </w:rPr>
        <w:t>,</w:t>
      </w:r>
      <w:r>
        <w:rPr>
          <w:rFonts w:ascii="Arial" w:hAnsi="Arial" w:cs="Arial"/>
          <w:sz w:val="22"/>
          <w:szCs w:val="22"/>
          <w:lang w:val="pt-BR"/>
        </w:rPr>
        <w:t xml:space="preserve"> quando o processo é exotérmico, conservando amostra</w:t>
      </w:r>
      <w:r>
        <w:rPr>
          <w:rFonts w:hint="default" w:ascii="Arial" w:hAnsi="Arial" w:cs="Arial"/>
          <w:sz w:val="22"/>
          <w:szCs w:val="22"/>
          <w:lang w:val="pt-BR"/>
        </w:rPr>
        <w:t>/</w:t>
      </w:r>
      <w:r>
        <w:rPr>
          <w:rFonts w:ascii="Arial" w:hAnsi="Arial" w:cs="Arial"/>
          <w:sz w:val="22"/>
          <w:szCs w:val="22"/>
          <w:lang w:val="pt-BR"/>
        </w:rPr>
        <w:t xml:space="preserve">referência com mesma temperatura (medidas das 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diferenças de fluxo de calor entre a amostra e a referência em função da temperatura da amostra). 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 xml:space="preserve">DSC: medidas de variação de energia, DTA: diferenças de temperatura (mas o programa para os dois métodos são similares). 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 xml:space="preserve">DTA: análises qualitativas, 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 xml:space="preserve">DSC: análises quantitativas de </w:t>
      </w:r>
      <w:r>
        <w:rPr>
          <w:rFonts w:ascii="Arial" w:hAnsi="Arial" w:cs="Arial"/>
          <w:color w:val="000000"/>
          <w:sz w:val="22"/>
          <w:szCs w:val="22"/>
          <w:lang w:val="pt-BR"/>
        </w:rPr>
        <w:sym w:font="Symbol" w:char="F044"/>
      </w:r>
      <w:r>
        <w:rPr>
          <w:rFonts w:ascii="Arial" w:hAnsi="Arial" w:cs="Arial"/>
          <w:color w:val="000000"/>
          <w:sz w:val="22"/>
          <w:szCs w:val="22"/>
          <w:lang w:val="pt-BR"/>
        </w:rPr>
        <w:t>H e capacidade térmica.</w:t>
      </w:r>
    </w:p>
    <w:p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highlight w:val="yellow"/>
          <w:lang w:val="pt-BR"/>
        </w:rPr>
        <w:t>Dois tipos de equipamentos</w:t>
      </w:r>
      <w:r>
        <w:rPr>
          <w:rFonts w:hint="default" w:ascii="Arial" w:hAnsi="Arial" w:cs="Arial"/>
          <w:color w:val="000000"/>
          <w:sz w:val="22"/>
          <w:szCs w:val="22"/>
          <w:highlight w:val="yellow"/>
          <w:lang w:val="pt-BR"/>
        </w:rPr>
        <w:t xml:space="preserve"> DSC</w:t>
      </w:r>
      <w:r>
        <w:rPr>
          <w:rFonts w:ascii="Arial" w:hAnsi="Arial" w:cs="Arial"/>
          <w:color w:val="000000"/>
          <w:sz w:val="22"/>
          <w:szCs w:val="22"/>
          <w:highlight w:val="yellow"/>
          <w:lang w:val="pt-BR"/>
        </w:rPr>
        <w:t>: a) de compensação de energia e b) de fluxo de calor.</w:t>
      </w:r>
    </w:p>
    <w:p>
      <w:pPr>
        <w:pStyle w:val="16"/>
        <w:numPr>
          <w:ilvl w:val="0"/>
          <w:numId w:val="2"/>
        </w:num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>
        <w:rPr>
          <w:rFonts w:ascii="Arial" w:hAnsi="Arial" w:cs="Arial"/>
          <w:color w:val="FF0000"/>
          <w:sz w:val="22"/>
          <w:szCs w:val="22"/>
          <w:lang w:val="pt-BR"/>
        </w:rPr>
        <w:t xml:space="preserve">DSC de compensação de energia 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 xml:space="preserve">Amostra e referência são colocadas em compartimentos individuais com duas fontes de temperatura (dois fornos individuais).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T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emperatura e energia são monitoradas e geradas por filamentos de Pt idênticos, que atuam como termômetros resistivos e aquecedores. 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4946015" cy="2663825"/>
            <wp:effectExtent l="19050" t="0" r="6985" b="0"/>
            <wp:docPr id="41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m 2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6015" cy="266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 xml:space="preserve">Com meio desta técnica, o calor fornecido se mantém constante, porém, ao invés de se medir a diferença de temperatura entre a amostra e a referência, o sistema de controle aumenta imediatamente a energia fornecida para a amostra quando o processo é endotérmico e a fornecida para a referência, quando é exotérmico, conservando assim a amostra e a referência com a mesma temperatura,. </w:t>
      </w:r>
    </w:p>
    <w:p>
      <w:pPr>
        <w:pStyle w:val="16"/>
        <w:spacing w:line="360" w:lineRule="auto"/>
        <w:ind w:left="0" w:leftChars="0" w:firstLine="0" w:firstLineChars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color w:val="000000"/>
          <w:sz w:val="22"/>
          <w:szCs w:val="22"/>
          <w:lang w:val="pt-BR"/>
        </w:rPr>
        <w:t>G</w:t>
      </w:r>
      <w:r>
        <w:rPr>
          <w:rFonts w:ascii="Arial" w:hAnsi="Arial" w:cs="Arial"/>
          <w:color w:val="000000"/>
          <w:sz w:val="22"/>
          <w:szCs w:val="22"/>
          <w:lang w:val="pt-BR"/>
        </w:rPr>
        <w:t>ráfico da energia é obtido para quantificar transformações durante  processo de aquecimento, já que compensação de calor é proporcional à energia envolvida na reação.</w:t>
      </w:r>
      <w:bookmarkStart w:id="0" w:name="_GoBack"/>
      <w:bookmarkEnd w:id="0"/>
    </w:p>
    <w:p>
      <w:pPr>
        <w:pStyle w:val="16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16"/>
        <w:numPr>
          <w:ilvl w:val="0"/>
          <w:numId w:val="2"/>
        </w:numPr>
        <w:tabs>
          <w:tab w:val="left" w:pos="240"/>
        </w:tabs>
        <w:spacing w:line="360" w:lineRule="auto"/>
        <w:ind w:left="0" w:leftChars="0" w:firstLine="0" w:firstLineChars="0"/>
        <w:jc w:val="both"/>
        <w:rPr>
          <w:rFonts w:ascii="Arial" w:hAnsi="Arial" w:cs="Arial"/>
          <w:color w:val="FF0000"/>
          <w:sz w:val="22"/>
          <w:szCs w:val="22"/>
          <w:lang w:val="pt-BR"/>
        </w:rPr>
      </w:pPr>
      <w:r>
        <w:rPr>
          <w:rFonts w:ascii="Arial" w:hAnsi="Arial" w:cs="Arial"/>
          <w:color w:val="FF0000"/>
          <w:sz w:val="22"/>
          <w:szCs w:val="22"/>
          <w:lang w:val="pt-BR"/>
        </w:rPr>
        <w:t>DSC de fluxo de calor</w:t>
      </w:r>
    </w:p>
    <w:p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color w:val="000000"/>
          <w:sz w:val="22"/>
          <w:szCs w:val="22"/>
          <w:lang w:val="pt-BR"/>
        </w:rPr>
        <w:t>S</w:t>
      </w:r>
      <w:r>
        <w:rPr>
          <w:rFonts w:ascii="Arial" w:hAnsi="Arial" w:cs="Arial"/>
          <w:color w:val="000000"/>
          <w:sz w:val="22"/>
          <w:szCs w:val="22"/>
          <w:lang w:val="pt-BR"/>
        </w:rPr>
        <w:t>imilar ao DTA, pois somente um forno é utilizado, sendo os cadinhos são colocados sobre base de um metal altamente condutor, geralmente Pt. Amostra e referência são aquecidas pelo mesmo sistema, a cada processo de reação um fluxo de energia se estabelece entre os cadinhos por meio da base de Pt. O fluxo de calor é medido por meio de sensores de temperatura posicionados sob cada cadinho, obtendo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 xml:space="preserve">-se </w:t>
      </w:r>
      <w:r>
        <w:rPr>
          <w:rFonts w:ascii="Arial" w:hAnsi="Arial" w:cs="Arial"/>
          <w:color w:val="000000"/>
          <w:sz w:val="22"/>
          <w:szCs w:val="22"/>
          <w:lang w:val="pt-BR"/>
        </w:rPr>
        <w:t>sinal proporcional à diferença de capacidade térmica entre amostra e referência.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 xml:space="preserve"> </w:t>
      </w:r>
      <w:r>
        <w:rPr>
          <w:rFonts w:ascii="Arial" w:hAnsi="Arial" w:cs="Arial"/>
          <w:color w:val="000000"/>
          <w:sz w:val="22"/>
          <w:szCs w:val="22"/>
          <w:lang w:val="pt-BR"/>
        </w:rPr>
        <w:t>Graficamente, obtém-se potencial elétrico (</w:t>
      </w:r>
      <w:r>
        <w:rPr>
          <w:rFonts w:ascii="Arial" w:hAnsi="Arial" w:cs="Arial"/>
          <w:color w:val="000000"/>
          <w:sz w:val="22"/>
          <w:szCs w:val="22"/>
        </w:rPr>
        <w:t>μ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V), correspondente ao aumento da temperatura de ambos os cadinhos no interior do forno </w:t>
      </w:r>
      <w:r>
        <w:rPr>
          <w:rFonts w:ascii="Arial" w:hAnsi="Arial" w:cs="Arial"/>
          <w:i/>
          <w:color w:val="000000"/>
          <w:sz w:val="22"/>
          <w:szCs w:val="22"/>
          <w:lang w:val="pt-BR"/>
        </w:rPr>
        <w:t>vs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 tempo. </w:t>
      </w:r>
    </w:p>
    <w:p>
      <w:pPr>
        <w:pStyle w:val="3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3339465" cy="3924300"/>
            <wp:effectExtent l="19050" t="0" r="0" b="0"/>
            <wp:docPr id="42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m 2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6866" cy="392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leftChars="0" w:firstLine="0" w:firstLineChars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 xml:space="preserve">Os dois tipos de equipamentos de DSC são capazes de fornecer resultados satisfatórios em processos envolvendo entalpia, com uma precisão da ordem de 1-2%. Os equipamentos de compensação de calor são, geralmente, limitados a temperaturas ate 725 ºC, enquanto que os de fluxo de calor podem funcionar até 1500 ºC. </w:t>
      </w:r>
    </w:p>
    <w:p>
      <w:pPr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br w:type="page"/>
      </w:r>
    </w:p>
    <w:p>
      <w:pPr>
        <w:pStyle w:val="3"/>
        <w:spacing w:line="360" w:lineRule="auto"/>
        <w:ind w:left="0" w:leftChars="0" w:firstLine="0" w:firstLineChars="0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>A diferença na definição dos picos entre a DTA e a DSC para amostras submetidas aos mesmos procedimentos experimentais.</w:t>
      </w:r>
    </w:p>
    <w:p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4095750" cy="2642235"/>
            <wp:effectExtent l="0" t="0" r="0" b="5715"/>
            <wp:docPr id="4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9487" cy="264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color w:val="000000"/>
          <w:sz w:val="22"/>
          <w:szCs w:val="22"/>
          <w:lang w:val="pt-BR"/>
        </w:rPr>
        <w:t>E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quipamentos utilizados para DTA e DSC contêm basicamente forno, termopares, cadinhos e um sistema de fluxo de gás. 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hint="default" w:ascii="Arial" w:hAnsi="Arial" w:cs="Arial"/>
          <w:color w:val="000000"/>
          <w:sz w:val="22"/>
          <w:szCs w:val="22"/>
          <w:lang w:val="pt-BR"/>
        </w:rPr>
        <w:t>C</w:t>
      </w:r>
      <w:r>
        <w:rPr>
          <w:rFonts w:ascii="Arial" w:hAnsi="Arial" w:cs="Arial"/>
          <w:color w:val="000000"/>
          <w:sz w:val="22"/>
          <w:szCs w:val="22"/>
          <w:lang w:val="pt-BR"/>
        </w:rPr>
        <w:t xml:space="preserve">adinhos utilizados para DTA são geralmente de alumina e encaixados em uma haste bifurcada, o que separa o cadinho com a referência do cadinho da amostra. Um pequeno disco colocado sobre os cadinhos evita vazamentos. </w:t>
      </w:r>
      <w:r>
        <w:rPr>
          <w:rFonts w:hint="default" w:ascii="Arial" w:hAnsi="Arial" w:cs="Arial"/>
          <w:color w:val="000000"/>
          <w:sz w:val="22"/>
          <w:szCs w:val="22"/>
          <w:lang w:val="pt-BR"/>
        </w:rPr>
        <w:t>T</w:t>
      </w:r>
      <w:r>
        <w:rPr>
          <w:rFonts w:ascii="Arial" w:hAnsi="Arial" w:cs="Arial"/>
          <w:color w:val="000000"/>
          <w:sz w:val="22"/>
          <w:szCs w:val="22"/>
          <w:lang w:val="pt-BR"/>
        </w:rPr>
        <w:t>ermopares são posicionados abaixo de cada cadinho por meio dos orifícios da haste.</w:t>
      </w:r>
    </w:p>
    <w:p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  <w:lang w:val="pt-BR"/>
        </w:rPr>
      </w:pPr>
    </w:p>
    <w:p>
      <w:pPr>
        <w:pStyle w:val="6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hint="default" w:ascii="Arial" w:hAnsi="Arial" w:cs="Arial"/>
          <w:color w:val="000000"/>
          <w:sz w:val="22"/>
          <w:szCs w:val="22"/>
          <w:lang w:val="pt-BR"/>
        </w:rPr>
        <w:t>C</w:t>
      </w:r>
      <w:r>
        <w:rPr>
          <w:rFonts w:ascii="Arial" w:hAnsi="Arial" w:cs="Arial"/>
          <w:color w:val="000000"/>
          <w:sz w:val="22"/>
          <w:szCs w:val="22"/>
        </w:rPr>
        <w:t xml:space="preserve">adinhos utilizados para DSC são feitos desde materiais altamente condutores de calor, tal como Pt, até alumina (conhecidos como “panelinha” pelo formato). </w:t>
      </w:r>
    </w:p>
    <w:p>
      <w:pPr>
        <w:pStyle w:val="6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>
      <w:pPr>
        <w:pStyle w:val="6"/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DSC por compensação de energia: cadinho posicionado em forno, DSC por fluxo de energia: cadinhos posicionados em cada lado da base de Pt, permitindo  o fluxo de calor entre a amostra e a referência.</w:t>
      </w:r>
      <w:r>
        <w:rPr>
          <w:rFonts w:ascii="Arial" w:hAnsi="Arial" w:cs="Arial"/>
          <w:sz w:val="22"/>
          <w:szCs w:val="22"/>
        </w:rPr>
        <w:t xml:space="preserve"> </w:t>
      </w:r>
    </w:p>
    <w:p>
      <w:pPr>
        <w:pStyle w:val="6"/>
        <w:spacing w:line="360" w:lineRule="auto"/>
        <w:jc w:val="both"/>
        <w:rPr>
          <w:rFonts w:ascii="Arial" w:hAnsi="Arial" w:cs="Arial"/>
          <w:sz w:val="22"/>
          <w:szCs w:val="22"/>
        </w:rPr>
      </w:pPr>
    </w:p>
    <w:p>
      <w:pPr>
        <w:pStyle w:val="6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DSC - fluxo de calor e compensação de energia - temperatura ou tempo (°C, min) no eixo x e em fluxo de calor (mW/</w:t>
      </w:r>
      <w:r>
        <w:rPr>
          <w:rFonts w:ascii="Arial" w:hAnsi="Arial" w:cs="Arial"/>
          <w:color w:val="000000"/>
          <w:sz w:val="22"/>
          <w:szCs w:val="22"/>
          <w:highlight w:val="yellow"/>
        </w:rPr>
        <w:t>mg</w:t>
      </w:r>
      <w:r>
        <w:rPr>
          <w:rFonts w:ascii="Arial" w:hAnsi="Arial" w:cs="Arial"/>
          <w:color w:val="000000"/>
          <w:sz w:val="22"/>
          <w:szCs w:val="22"/>
        </w:rPr>
        <w:t xml:space="preserve">) no eixo y. Note que o fluxo de calor é dividido pela massa, pois o resultado passa a não ser afetado pela quantidade de massa que compõe o cadinho, já que quanto maior a massa no cadinho, maior será a quantidade de calor liberada ou absorvida na reação. </w:t>
      </w:r>
    </w:p>
    <w:p>
      <w:pPr>
        <w:spacing w:line="360" w:lineRule="auto"/>
        <w:jc w:val="center"/>
        <w:rPr>
          <w:rFonts w:ascii="Arial" w:hAnsi="Arial" w:cs="Arial"/>
          <w:color w:val="000000"/>
          <w:sz w:val="22"/>
          <w:szCs w:val="22"/>
          <w:lang w:val="pt-BR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2313940" cy="922655"/>
            <wp:effectExtent l="19050" t="0" r="0" b="0"/>
            <wp:docPr id="46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m 28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92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  <w:lang w:val="pt-BR"/>
        </w:rPr>
        <w:tab/>
      </w:r>
      <w:r>
        <w:rPr>
          <w:rFonts w:ascii="Arial" w:hAnsi="Arial" w:cs="Arial"/>
          <w:color w:val="000000"/>
          <w:sz w:val="22"/>
          <w:szCs w:val="22"/>
          <w:lang w:val="pt-BR"/>
        </w:rPr>
        <w:tab/>
      </w:r>
      <w:r>
        <w:rPr>
          <w:rFonts w:ascii="Arial" w:hAnsi="Arial" w:cs="Arial"/>
          <w:color w:val="000000"/>
          <w:sz w:val="22"/>
          <w:szCs w:val="22"/>
          <w:lang w:val="pt-BR"/>
        </w:rPr>
        <w:tab/>
      </w:r>
      <w:r>
        <w:rPr>
          <w:rFonts w:ascii="Arial" w:hAnsi="Arial" w:cs="Arial"/>
          <w:color w:val="000000"/>
          <w:sz w:val="22"/>
          <w:szCs w:val="22"/>
          <w:lang w:val="pt-BR"/>
        </w:rPr>
        <w:tab/>
      </w:r>
      <w:r>
        <w:rPr>
          <w:rFonts w:ascii="Arial" w:hAnsi="Arial" w:cs="Arial"/>
          <w:color w:val="000000"/>
          <w:sz w:val="22"/>
          <w:szCs w:val="22"/>
          <w:lang w:val="pt-BR"/>
        </w:rPr>
        <w:tab/>
      </w:r>
      <w:r>
        <w:rPr>
          <w:rFonts w:ascii="Arial" w:hAnsi="Arial" w:cs="Arial"/>
          <w:color w:val="000000"/>
          <w:sz w:val="22"/>
          <w:szCs w:val="22"/>
          <w:lang w:val="pt-BR"/>
        </w:rPr>
        <w:tab/>
      </w:r>
      <w:r>
        <w:rPr>
          <w:rFonts w:ascii="Arial" w:hAnsi="Arial" w:cs="Arial"/>
          <w:color w:val="000000"/>
          <w:sz w:val="22"/>
          <w:szCs w:val="22"/>
          <w:lang w:val="pt-BR"/>
        </w:rPr>
        <w:drawing>
          <wp:inline distT="0" distB="0" distL="0" distR="0">
            <wp:extent cx="977900" cy="1160780"/>
            <wp:effectExtent l="0" t="0" r="12700" b="1270"/>
            <wp:docPr id="47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m 2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  <w:lang w:val="pt-BR"/>
        </w:rPr>
        <w:t>Cadinhos utilizados para DSC (grafite, ZrO</w:t>
      </w:r>
      <w:r>
        <w:rPr>
          <w:rFonts w:ascii="Arial" w:hAnsi="Arial" w:cs="Arial"/>
          <w:color w:val="000000"/>
          <w:position w:val="-4"/>
          <w:sz w:val="22"/>
          <w:szCs w:val="22"/>
          <w:vertAlign w:val="subscript"/>
          <w:lang w:val="pt-BR"/>
        </w:rPr>
        <w:t>2</w:t>
      </w:r>
      <w:r>
        <w:rPr>
          <w:rFonts w:ascii="Arial" w:hAnsi="Arial" w:cs="Arial"/>
          <w:color w:val="000000"/>
          <w:sz w:val="22"/>
          <w:szCs w:val="22"/>
          <w:lang w:val="pt-BR"/>
        </w:rPr>
        <w:t>, Al</w:t>
      </w:r>
      <w:r>
        <w:rPr>
          <w:rFonts w:ascii="Arial" w:hAnsi="Arial" w:cs="Arial"/>
          <w:color w:val="000000"/>
          <w:position w:val="-4"/>
          <w:sz w:val="22"/>
          <w:szCs w:val="22"/>
          <w:vertAlign w:val="subscript"/>
          <w:lang w:val="pt-BR"/>
        </w:rPr>
        <w:t>2</w:t>
      </w:r>
      <w:r>
        <w:rPr>
          <w:rFonts w:ascii="Arial" w:hAnsi="Arial" w:cs="Arial"/>
          <w:color w:val="000000"/>
          <w:sz w:val="22"/>
          <w:szCs w:val="22"/>
          <w:lang w:val="pt-BR"/>
        </w:rPr>
        <w:t>O</w:t>
      </w:r>
      <w:r>
        <w:rPr>
          <w:rFonts w:ascii="Arial" w:hAnsi="Arial" w:cs="Arial"/>
          <w:color w:val="000000"/>
          <w:position w:val="-4"/>
          <w:sz w:val="22"/>
          <w:szCs w:val="22"/>
          <w:vertAlign w:val="subscript"/>
          <w:lang w:val="pt-BR"/>
        </w:rPr>
        <w:t xml:space="preserve">3 </w:t>
      </w:r>
      <w:r>
        <w:rPr>
          <w:rFonts w:ascii="Arial" w:hAnsi="Arial" w:cs="Arial"/>
          <w:color w:val="000000"/>
          <w:sz w:val="22"/>
          <w:szCs w:val="22"/>
          <w:lang w:val="pt-BR"/>
        </w:rPr>
        <w:t>, Pt + Al</w:t>
      </w:r>
      <w:r>
        <w:rPr>
          <w:rFonts w:ascii="Arial" w:hAnsi="Arial" w:cs="Arial"/>
          <w:color w:val="000000"/>
          <w:position w:val="-4"/>
          <w:sz w:val="22"/>
          <w:szCs w:val="22"/>
          <w:vertAlign w:val="subscript"/>
          <w:lang w:val="pt-BR"/>
        </w:rPr>
        <w:t>2</w:t>
      </w:r>
      <w:r>
        <w:rPr>
          <w:rFonts w:ascii="Arial" w:hAnsi="Arial" w:cs="Arial"/>
          <w:color w:val="000000"/>
          <w:sz w:val="22"/>
          <w:szCs w:val="22"/>
          <w:lang w:val="pt-BR"/>
        </w:rPr>
        <w:t>O</w:t>
      </w:r>
      <w:r>
        <w:rPr>
          <w:rFonts w:ascii="Arial" w:hAnsi="Arial" w:cs="Arial"/>
          <w:color w:val="000000"/>
          <w:position w:val="-4"/>
          <w:sz w:val="22"/>
          <w:szCs w:val="22"/>
          <w:vertAlign w:val="subscript"/>
          <w:lang w:val="pt-BR"/>
        </w:rPr>
        <w:t xml:space="preserve">3 </w:t>
      </w:r>
      <w:r>
        <w:rPr>
          <w:rFonts w:ascii="Arial" w:hAnsi="Arial" w:cs="Arial"/>
          <w:color w:val="000000"/>
          <w:sz w:val="22"/>
          <w:szCs w:val="22"/>
          <w:lang w:val="pt-BR"/>
        </w:rPr>
        <w:t>/Pt, Au) e haste de DSC de fluxo de calor.</w:t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>
      <w:pPr>
        <w:spacing w:line="360" w:lineRule="auto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Observação: Este é um texto de aula, que serve apenas como apoio, para se ter uma sequência de tópicos; é uma compilação dos textos consultados, livros, sites na internet e artigos. Não é uma versão final e pode conter trechos de outros autores com modificações; algumas figuras não contêm ainda a fonte e/ou contêm a fonte incompleta (somente uma indicação). </w:t>
      </w:r>
    </w:p>
    <w:p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Fontes (sugestões de estudo)</w:t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1. T. Hatakeyama, F.X. Quinn, Thermal Analysis, Fundamentals and Applications to Polymer Science, 2ª Ed., Wiley, 1999.</w:t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2. J.C. Anderson, K.D. Leaver, R.D. Rawlings, J.M. Alexander, Materials Science, 3</w:t>
      </w:r>
      <w:r>
        <w:rPr>
          <w:rFonts w:ascii="Arial" w:hAnsi="Arial" w:cs="Arial"/>
          <w:sz w:val="22"/>
          <w:szCs w:val="22"/>
          <w:vertAlign w:val="superscript"/>
        </w:rPr>
        <w:t>a</w:t>
      </w:r>
      <w:r>
        <w:rPr>
          <w:rFonts w:ascii="Arial" w:hAnsi="Arial" w:cs="Arial"/>
          <w:sz w:val="22"/>
          <w:szCs w:val="22"/>
        </w:rPr>
        <w:t xml:space="preserve"> ed., Van Nostrand Reinhold, 1985.</w:t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3. R. Tilley, Understanding Solids, The Science of Materials, Wiley, 2004.</w:t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4. J.F. Shackelford, Ciência dos Materiais, 6ª ed., Pearson, 2008.</w:t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5. W.D. Callister Jr., Materials Science and Engineering, Wiley, 3ª ed., 1994.</w:t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6. D.A. Skoog, J.L. Leary, Principles of Instrumental Analysis, Saunders, 4a. ed., 1992.</w:t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7. K.P. Menard, Dynamic Mechanical Analysis, A Practical Introduction, CRC, 1999.</w:t>
      </w:r>
    </w:p>
    <w:p>
      <w:pPr>
        <w:spacing w:line="360" w:lineRule="auto"/>
        <w:jc w:val="both"/>
        <w:rPr>
          <w:rStyle w:val="10"/>
          <w:color w:val="000000"/>
        </w:rPr>
      </w:pPr>
      <w:r>
        <w:rPr>
          <w:rFonts w:ascii="Arial" w:hAnsi="Arial" w:cs="Arial"/>
          <w:sz w:val="22"/>
          <w:szCs w:val="22"/>
        </w:rPr>
        <w:t xml:space="preserve">8. Aulas abertas, </w:t>
      </w:r>
      <w:r>
        <w:rPr>
          <w:rFonts w:ascii="Arial" w:hAnsi="Arial" w:cs="Arial"/>
          <w:i/>
          <w:sz w:val="22"/>
          <w:szCs w:val="22"/>
        </w:rPr>
        <w:t>online</w:t>
      </w:r>
      <w:r>
        <w:rPr>
          <w:rFonts w:ascii="Arial" w:hAnsi="Arial" w:cs="Arial"/>
          <w:sz w:val="22"/>
          <w:szCs w:val="22"/>
        </w:rPr>
        <w:t>, de Khaled Mezgahani (</w:t>
      </w:r>
      <w:r>
        <w:rPr>
          <w:rStyle w:val="10"/>
          <w:rFonts w:ascii="Arial" w:hAnsi="Arial" w:cs="Arial"/>
          <w:color w:val="000000"/>
          <w:sz w:val="22"/>
          <w:szCs w:val="22"/>
        </w:rPr>
        <w:t>ocw.kfupm.edu.sa</w:t>
      </w:r>
      <w:r>
        <w:rPr>
          <w:rStyle w:val="10"/>
          <w:rFonts w:ascii="Arial" w:hAnsi="Arial" w:cs="Arial"/>
          <w:i w:val="0"/>
          <w:color w:val="000000"/>
          <w:sz w:val="22"/>
          <w:szCs w:val="22"/>
        </w:rPr>
        <w:t>)</w:t>
      </w:r>
      <w:r>
        <w:rPr>
          <w:rStyle w:val="10"/>
          <w:rFonts w:ascii="Arial" w:hAnsi="Arial" w:cs="Arial"/>
          <w:color w:val="000000"/>
          <w:sz w:val="22"/>
          <w:szCs w:val="22"/>
        </w:rPr>
        <w:t>.</w:t>
      </w:r>
    </w:p>
    <w:p>
      <w:pPr>
        <w:autoSpaceDE w:val="0"/>
        <w:autoSpaceDN w:val="0"/>
        <w:adjustRightInd w:val="0"/>
        <w:spacing w:line="360" w:lineRule="auto"/>
        <w:rPr>
          <w:rFonts w:ascii="Arial" w:hAnsi="Arial" w:cs="Arial" w:eastAsiaTheme="minorHAnsi"/>
          <w:color w:val="231F20"/>
          <w:sz w:val="22"/>
          <w:szCs w:val="22"/>
          <w:lang w:val="pt-BR" w:eastAsia="en-US"/>
        </w:rPr>
      </w:pPr>
      <w:r>
        <w:rPr>
          <w:rStyle w:val="10"/>
          <w:rFonts w:ascii="Arial" w:hAnsi="Arial" w:cs="Arial"/>
          <w:i w:val="0"/>
          <w:color w:val="000000"/>
          <w:sz w:val="22"/>
          <w:szCs w:val="22"/>
        </w:rPr>
        <w:t xml:space="preserve">9. Perkin Elmer </w:t>
      </w:r>
      <w:r>
        <w:rPr>
          <w:rStyle w:val="10"/>
          <w:rFonts w:ascii="Arial" w:hAnsi="Arial" w:cs="Arial"/>
          <w:color w:val="000000"/>
          <w:sz w:val="22"/>
          <w:szCs w:val="22"/>
        </w:rPr>
        <w:t>online</w:t>
      </w:r>
      <w:r>
        <w:rPr>
          <w:rStyle w:val="10"/>
          <w:rFonts w:ascii="Arial" w:hAnsi="Arial" w:cs="Arial"/>
          <w:i w:val="0"/>
          <w:color w:val="000000"/>
          <w:sz w:val="22"/>
          <w:szCs w:val="22"/>
        </w:rPr>
        <w:t xml:space="preserve">, An Introduction to Dynamic Mechanical Analysis (DMA); </w:t>
      </w:r>
      <w:r>
        <w:rPr>
          <w:rFonts w:ascii="Arial" w:hAnsi="Arial" w:cs="Arial" w:eastAsiaTheme="minorHAnsi"/>
          <w:color w:val="231F20"/>
          <w:sz w:val="22"/>
          <w:szCs w:val="22"/>
          <w:lang w:eastAsia="en-US"/>
        </w:rPr>
        <w:t xml:space="preserve">Dynamic Mechanical Analysis. </w:t>
      </w:r>
      <w:r>
        <w:rPr>
          <w:rFonts w:ascii="Arial" w:hAnsi="Arial" w:cs="Arial" w:eastAsiaTheme="minorHAnsi"/>
          <w:color w:val="231F20"/>
          <w:sz w:val="22"/>
          <w:szCs w:val="22"/>
          <w:lang w:val="pt-BR" w:eastAsia="en-US"/>
        </w:rPr>
        <w:t>Basics: Part 1. How DMA Works.</w:t>
      </w:r>
    </w:p>
    <w:p>
      <w:pPr>
        <w:pStyle w:val="2"/>
        <w:spacing w:before="0" w:line="360" w:lineRule="auto"/>
        <w:rPr>
          <w:rFonts w:ascii="Arial" w:hAnsi="Arial" w:cs="Arial"/>
          <w:b w:val="0"/>
          <w:color w:val="auto"/>
          <w:sz w:val="22"/>
          <w:szCs w:val="22"/>
          <w:lang w:val="pt-BR"/>
        </w:rPr>
      </w:pPr>
      <w:r>
        <w:rPr>
          <w:rFonts w:ascii="Arial" w:hAnsi="Arial" w:cs="Arial" w:eastAsiaTheme="minorHAnsi"/>
          <w:b w:val="0"/>
          <w:color w:val="231F20"/>
          <w:sz w:val="22"/>
          <w:szCs w:val="22"/>
          <w:lang w:val="pt-BR" w:eastAsia="en-US"/>
        </w:rPr>
        <w:t>10. Apostila Análises Térmicas (</w:t>
      </w:r>
      <w:r>
        <w:rPr>
          <w:rFonts w:ascii="Arial" w:hAnsi="Arial" w:cs="Arial" w:eastAsiaTheme="minorHAnsi"/>
          <w:b w:val="0"/>
          <w:i/>
          <w:color w:val="231F20"/>
          <w:sz w:val="22"/>
          <w:szCs w:val="22"/>
          <w:lang w:val="pt-BR" w:eastAsia="en-US"/>
        </w:rPr>
        <w:t>online</w:t>
      </w:r>
      <w:r>
        <w:rPr>
          <w:rFonts w:ascii="Arial" w:hAnsi="Arial" w:cs="Arial" w:eastAsiaTheme="minorHAnsi"/>
          <w:b w:val="0"/>
          <w:color w:val="231F20"/>
          <w:sz w:val="22"/>
          <w:szCs w:val="22"/>
          <w:lang w:val="pt-BR" w:eastAsia="en-US"/>
        </w:rPr>
        <w:t xml:space="preserve">), Departamento de Engenharia Mecânica, UFSC, </w:t>
      </w:r>
      <w:r>
        <w:rPr>
          <w:rFonts w:ascii="Arial" w:hAnsi="Arial" w:cs="Arial"/>
          <w:b w:val="0"/>
          <w:color w:val="000000"/>
          <w:sz w:val="22"/>
          <w:szCs w:val="22"/>
          <w:lang w:val="pt-BR"/>
        </w:rPr>
        <w:t>G.V. Rodrigues</w:t>
      </w:r>
      <w:r>
        <w:rPr>
          <w:rFonts w:ascii="Arial" w:hAnsi="Arial" w:cs="Arial"/>
          <w:b w:val="0"/>
          <w:color w:val="auto"/>
          <w:sz w:val="22"/>
          <w:szCs w:val="22"/>
          <w:lang w:val="pt-BR"/>
        </w:rPr>
        <w:t xml:space="preserve">, O. Marchetto, P.A.P. Wendhausen. </w:t>
      </w:r>
    </w:p>
    <w:p>
      <w:pPr>
        <w:pStyle w:val="7"/>
        <w:spacing w:line="360" w:lineRule="auto"/>
        <w:rPr>
          <w:rFonts w:ascii="Arial" w:hAnsi="Arial" w:cs="Arial"/>
          <w:sz w:val="22"/>
          <w:szCs w:val="22"/>
          <w:lang w:val="en-US"/>
        </w:rPr>
      </w:pPr>
      <w:r>
        <w:rPr>
          <w:rFonts w:ascii="Arial" w:hAnsi="Arial" w:cs="Arial"/>
          <w:sz w:val="22"/>
          <w:szCs w:val="22"/>
          <w:lang w:val="en-US"/>
        </w:rPr>
        <w:t>11. IUPAC, http://www.iupac.org/publications/analytical_compendium/Cha05sec2.pdf.</w:t>
      </w:r>
    </w:p>
    <w:p>
      <w:pPr>
        <w:pStyle w:val="7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12. Aula </w:t>
      </w:r>
      <w:r>
        <w:rPr>
          <w:rFonts w:ascii="Arial" w:hAnsi="Arial" w:cs="Arial"/>
          <w:i/>
          <w:sz w:val="22"/>
          <w:szCs w:val="22"/>
        </w:rPr>
        <w:t>online</w:t>
      </w:r>
      <w:r>
        <w:rPr>
          <w:rFonts w:ascii="Arial" w:hAnsi="Arial" w:cs="Arial"/>
          <w:sz w:val="22"/>
          <w:szCs w:val="22"/>
        </w:rPr>
        <w:t>, Análises Térmicas, http://www.chem.mun.ca/courseinfo/c4110.</w:t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13. S.N. Cassu, M.I. Felisberti, Quimica Nova, 28, 255, 2005. (DMA).</w:t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14. Site TA Instruments.</w:t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 xml:space="preserve">15. artigo de Thomas A. Luckenbach, </w:t>
      </w:r>
      <w:r>
        <w:rPr>
          <w:rFonts w:ascii="Arial" w:hAnsi="Arial" w:cs="Arial"/>
          <w:i/>
          <w:sz w:val="22"/>
          <w:szCs w:val="22"/>
          <w:lang w:val="pt-BR"/>
        </w:rPr>
        <w:t>DMTA: Dynamic Mechanical Thermal Analysis</w:t>
      </w:r>
      <w:r>
        <w:rPr>
          <w:rFonts w:ascii="Arial" w:hAnsi="Arial" w:cs="Arial"/>
          <w:sz w:val="22"/>
          <w:szCs w:val="22"/>
          <w:lang w:val="pt-BR"/>
        </w:rPr>
        <w:t xml:space="preserve"> (disponível </w:t>
      </w:r>
      <w:r>
        <w:rPr>
          <w:rFonts w:ascii="Arial" w:hAnsi="Arial" w:cs="Arial"/>
          <w:i/>
          <w:sz w:val="22"/>
          <w:szCs w:val="22"/>
          <w:lang w:val="pt-BR"/>
        </w:rPr>
        <w:t>online</w:t>
      </w:r>
      <w:r>
        <w:rPr>
          <w:rFonts w:ascii="Arial" w:hAnsi="Arial" w:cs="Arial"/>
          <w:sz w:val="22"/>
          <w:szCs w:val="22"/>
          <w:lang w:val="pt-BR"/>
        </w:rPr>
        <w:t>).</w:t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  <w:r>
        <w:rPr>
          <w:rFonts w:ascii="Arial" w:hAnsi="Arial" w:cs="Arial"/>
          <w:sz w:val="22"/>
          <w:szCs w:val="22"/>
          <w:lang w:val="pt-BR"/>
        </w:rPr>
        <w:t>16. O. Mendieta-Taboada, R.A. de Carvalho, P.J. do A. Sobral, Química Nova, 31, 384, 2008. (DMA).</w:t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pt-BR"/>
        </w:rPr>
        <w:t>17. C. Bernal, A.B. Couto, S.T. Brevigli, E.T.G. Cavalheiro, Química Nova, 25, 849, 2002. (DSC).</w:t>
      </w:r>
    </w:p>
    <w:p>
      <w:pPr>
        <w:pStyle w:val="7"/>
        <w:spacing w:line="360" w:lineRule="auto"/>
        <w:rPr>
          <w:rFonts w:ascii="Arial" w:hAnsi="Arial" w:cs="Arial"/>
          <w:sz w:val="22"/>
          <w:szCs w:val="22"/>
        </w:rPr>
      </w:pPr>
    </w:p>
    <w:p>
      <w:pPr>
        <w:autoSpaceDE w:val="0"/>
        <w:autoSpaceDN w:val="0"/>
        <w:adjustRightInd w:val="0"/>
        <w:spacing w:line="360" w:lineRule="auto"/>
        <w:rPr>
          <w:rFonts w:ascii="Arial" w:hAnsi="Arial" w:cs="Arial" w:eastAsiaTheme="minorHAnsi"/>
          <w:bCs/>
          <w:color w:val="FFFFFF"/>
          <w:sz w:val="22"/>
          <w:szCs w:val="22"/>
          <w:lang w:val="pt-BR" w:eastAsia="en-US"/>
        </w:rPr>
      </w:pPr>
      <w:r>
        <w:rPr>
          <w:rFonts w:ascii="Arial" w:hAnsi="Arial" w:cs="Arial" w:eastAsiaTheme="minorHAnsi"/>
          <w:bCs/>
          <w:color w:val="FFFFFF"/>
          <w:sz w:val="22"/>
          <w:szCs w:val="22"/>
          <w:lang w:val="pt-BR" w:eastAsia="en-US"/>
        </w:rPr>
        <w:t>T E C H N I C A L N O T E</w:t>
      </w:r>
    </w:p>
    <w:p>
      <w:pPr>
        <w:spacing w:line="360" w:lineRule="auto"/>
        <w:jc w:val="both"/>
        <w:rPr>
          <w:rFonts w:ascii="Arial" w:hAnsi="Arial" w:cs="Arial"/>
          <w:sz w:val="22"/>
          <w:szCs w:val="22"/>
          <w:lang w:val="pt-BR"/>
        </w:rPr>
      </w:pPr>
    </w:p>
    <w:sectPr>
      <w:footerReference r:id="rId3" w:type="default"/>
      <w:footerReference r:id="rId4" w:type="even"/>
      <w:pgSz w:w="11906" w:h="16838"/>
      <w:pgMar w:top="1417" w:right="1701" w:bottom="1417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ILGOK+LucidaSansUnicode">
    <w:altName w:val="Lucida Sans Unicode"/>
    <w:panose1 w:val="00000000000000000000"/>
    <w:charset w:val="00"/>
    <w:family w:val="swiss"/>
    <w:pitch w:val="default"/>
    <w:sig w:usb0="00000000" w:usb1="00000000" w:usb2="00000010" w:usb3="00000000" w:csb0="0002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right" w:y="1"/>
      <w:rPr>
        <w:rStyle w:val="12"/>
        <w:rFonts w:ascii="Arial" w:hAnsi="Arial" w:cs="Arial"/>
        <w:sz w:val="20"/>
        <w:szCs w:val="20"/>
      </w:rPr>
    </w:pPr>
    <w:r>
      <w:rPr>
        <w:rStyle w:val="12"/>
        <w:rFonts w:ascii="Arial" w:hAnsi="Arial" w:cs="Arial"/>
        <w:sz w:val="20"/>
        <w:szCs w:val="20"/>
      </w:rPr>
      <w:fldChar w:fldCharType="begin"/>
    </w:r>
    <w:r>
      <w:rPr>
        <w:rStyle w:val="12"/>
        <w:rFonts w:ascii="Arial" w:hAnsi="Arial" w:cs="Arial"/>
        <w:sz w:val="20"/>
        <w:szCs w:val="20"/>
      </w:rPr>
      <w:instrText xml:space="preserve">PAGE  </w:instrText>
    </w:r>
    <w:r>
      <w:rPr>
        <w:rStyle w:val="12"/>
        <w:rFonts w:ascii="Arial" w:hAnsi="Arial" w:cs="Arial"/>
        <w:sz w:val="20"/>
        <w:szCs w:val="20"/>
      </w:rPr>
      <w:fldChar w:fldCharType="separate"/>
    </w:r>
    <w:r>
      <w:rPr>
        <w:rStyle w:val="12"/>
        <w:rFonts w:ascii="Arial" w:hAnsi="Arial" w:cs="Arial"/>
        <w:sz w:val="20"/>
        <w:szCs w:val="20"/>
      </w:rPr>
      <w:t>16</w:t>
    </w:r>
    <w:r>
      <w:rPr>
        <w:rStyle w:val="12"/>
        <w:rFonts w:ascii="Arial" w:hAnsi="Arial" w:cs="Arial"/>
        <w:sz w:val="20"/>
        <w:szCs w:val="20"/>
      </w:rPr>
      <w:fldChar w:fldCharType="end"/>
    </w:r>
  </w:p>
  <w:p>
    <w:pPr>
      <w:pStyle w:val="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framePr w:wrap="around" w:vAnchor="text" w:hAnchor="margin" w:xAlign="right" w:y="1"/>
      <w:rPr>
        <w:rStyle w:val="12"/>
      </w:rPr>
    </w:pPr>
    <w:r>
      <w:rPr>
        <w:rStyle w:val="12"/>
      </w:rPr>
      <w:fldChar w:fldCharType="begin"/>
    </w:r>
    <w:r>
      <w:rPr>
        <w:rStyle w:val="12"/>
      </w:rPr>
      <w:instrText xml:space="preserve">PAGE  </w:instrText>
    </w:r>
    <w:r>
      <w:rPr>
        <w:rStyle w:val="12"/>
      </w:rPr>
      <w:fldChar w:fldCharType="end"/>
    </w:r>
  </w:p>
  <w:p>
    <w:pPr>
      <w:pStyle w:val="5"/>
      <w:ind w:right="36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C87992"/>
    <w:multiLevelType w:val="singleLevel"/>
    <w:tmpl w:val="5DC87992"/>
    <w:lvl w:ilvl="0" w:tentative="0">
      <w:start w:val="2"/>
      <w:numFmt w:val="decimal"/>
      <w:suff w:val="space"/>
      <w:lvlText w:val="%1)"/>
      <w:lvlJc w:val="left"/>
    </w:lvl>
  </w:abstractNum>
  <w:abstractNum w:abstractNumId="1">
    <w:nsid w:val="69D85273"/>
    <w:multiLevelType w:val="multilevel"/>
    <w:tmpl w:val="69D85273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 w:ascii="BILGOK+LucidaSansUnicode" w:hAnsi="BILGOK+LucidaSansUnicode" w:cs="BILGOK+LucidaSansUnicode"/>
        <w:color w:val="000000"/>
        <w:sz w:val="20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cumentProtection w:enforcement="0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7E1"/>
    <w:rsid w:val="00020691"/>
    <w:rsid w:val="00025E1A"/>
    <w:rsid w:val="00057A4A"/>
    <w:rsid w:val="00093757"/>
    <w:rsid w:val="00093A2D"/>
    <w:rsid w:val="000A3CAE"/>
    <w:rsid w:val="000D1893"/>
    <w:rsid w:val="000F6795"/>
    <w:rsid w:val="00120AD3"/>
    <w:rsid w:val="00125E48"/>
    <w:rsid w:val="0016093F"/>
    <w:rsid w:val="001A0415"/>
    <w:rsid w:val="001A6E27"/>
    <w:rsid w:val="001B7511"/>
    <w:rsid w:val="001C7F0E"/>
    <w:rsid w:val="001E2882"/>
    <w:rsid w:val="001E7C11"/>
    <w:rsid w:val="001F0867"/>
    <w:rsid w:val="001F2BB9"/>
    <w:rsid w:val="001F6922"/>
    <w:rsid w:val="00220F22"/>
    <w:rsid w:val="00222ED7"/>
    <w:rsid w:val="002C6EEF"/>
    <w:rsid w:val="002D79BA"/>
    <w:rsid w:val="00345320"/>
    <w:rsid w:val="0037332E"/>
    <w:rsid w:val="0039705F"/>
    <w:rsid w:val="003D1FB4"/>
    <w:rsid w:val="003F0B9F"/>
    <w:rsid w:val="0040422D"/>
    <w:rsid w:val="00411FFC"/>
    <w:rsid w:val="00413ED3"/>
    <w:rsid w:val="004267E1"/>
    <w:rsid w:val="00476C76"/>
    <w:rsid w:val="004774EF"/>
    <w:rsid w:val="00480211"/>
    <w:rsid w:val="00484493"/>
    <w:rsid w:val="004C4476"/>
    <w:rsid w:val="004D5A19"/>
    <w:rsid w:val="004E0371"/>
    <w:rsid w:val="004E7C07"/>
    <w:rsid w:val="004F69CC"/>
    <w:rsid w:val="00500CD2"/>
    <w:rsid w:val="0050214B"/>
    <w:rsid w:val="00516857"/>
    <w:rsid w:val="00540ECB"/>
    <w:rsid w:val="00575DF4"/>
    <w:rsid w:val="00596499"/>
    <w:rsid w:val="005A4A8A"/>
    <w:rsid w:val="005D1E27"/>
    <w:rsid w:val="005D690D"/>
    <w:rsid w:val="005E39AE"/>
    <w:rsid w:val="005F73D0"/>
    <w:rsid w:val="0060195A"/>
    <w:rsid w:val="00602DE0"/>
    <w:rsid w:val="006100D8"/>
    <w:rsid w:val="006125B8"/>
    <w:rsid w:val="006325E3"/>
    <w:rsid w:val="00650A43"/>
    <w:rsid w:val="00653905"/>
    <w:rsid w:val="006D0CD7"/>
    <w:rsid w:val="00701749"/>
    <w:rsid w:val="007173B1"/>
    <w:rsid w:val="007246DD"/>
    <w:rsid w:val="00756E69"/>
    <w:rsid w:val="007602F0"/>
    <w:rsid w:val="00792180"/>
    <w:rsid w:val="0079333B"/>
    <w:rsid w:val="00793874"/>
    <w:rsid w:val="007E46DF"/>
    <w:rsid w:val="00806AA3"/>
    <w:rsid w:val="00823210"/>
    <w:rsid w:val="00835A3F"/>
    <w:rsid w:val="008727C6"/>
    <w:rsid w:val="0089643B"/>
    <w:rsid w:val="008A7B72"/>
    <w:rsid w:val="008B7A91"/>
    <w:rsid w:val="008D3A5E"/>
    <w:rsid w:val="008E274A"/>
    <w:rsid w:val="008F0F2E"/>
    <w:rsid w:val="00922F85"/>
    <w:rsid w:val="0092675F"/>
    <w:rsid w:val="00936759"/>
    <w:rsid w:val="00982730"/>
    <w:rsid w:val="009866F1"/>
    <w:rsid w:val="00996B67"/>
    <w:rsid w:val="009A2C20"/>
    <w:rsid w:val="009A51D3"/>
    <w:rsid w:val="009C4DF3"/>
    <w:rsid w:val="009F65F6"/>
    <w:rsid w:val="00A06688"/>
    <w:rsid w:val="00A41BC5"/>
    <w:rsid w:val="00A6048A"/>
    <w:rsid w:val="00A65E73"/>
    <w:rsid w:val="00A92174"/>
    <w:rsid w:val="00AB39AF"/>
    <w:rsid w:val="00AC059A"/>
    <w:rsid w:val="00AC3F4A"/>
    <w:rsid w:val="00AD323B"/>
    <w:rsid w:val="00B02D69"/>
    <w:rsid w:val="00B90E30"/>
    <w:rsid w:val="00BA2AE1"/>
    <w:rsid w:val="00BD7DB4"/>
    <w:rsid w:val="00BE2640"/>
    <w:rsid w:val="00BE6E49"/>
    <w:rsid w:val="00BF03C8"/>
    <w:rsid w:val="00C2080A"/>
    <w:rsid w:val="00C31ACD"/>
    <w:rsid w:val="00C435D4"/>
    <w:rsid w:val="00C65BC8"/>
    <w:rsid w:val="00CF150A"/>
    <w:rsid w:val="00D42EE2"/>
    <w:rsid w:val="00D50C45"/>
    <w:rsid w:val="00D872E2"/>
    <w:rsid w:val="00DA6754"/>
    <w:rsid w:val="00DB0DAB"/>
    <w:rsid w:val="00DB7DD6"/>
    <w:rsid w:val="00DC0751"/>
    <w:rsid w:val="00DC52D6"/>
    <w:rsid w:val="00DF5F43"/>
    <w:rsid w:val="00DF7C80"/>
    <w:rsid w:val="00E24063"/>
    <w:rsid w:val="00E33C17"/>
    <w:rsid w:val="00E43FB7"/>
    <w:rsid w:val="00E458C3"/>
    <w:rsid w:val="00E57082"/>
    <w:rsid w:val="00E63262"/>
    <w:rsid w:val="00E93909"/>
    <w:rsid w:val="00F019C1"/>
    <w:rsid w:val="00F05D22"/>
    <w:rsid w:val="00F15F26"/>
    <w:rsid w:val="00F57A54"/>
    <w:rsid w:val="00F765D1"/>
    <w:rsid w:val="00FB1D52"/>
    <w:rsid w:val="00FC120D"/>
    <w:rsid w:val="00FD31B8"/>
    <w:rsid w:val="00FD3F17"/>
    <w:rsid w:val="01616325"/>
    <w:rsid w:val="035A0E33"/>
    <w:rsid w:val="039C04D9"/>
    <w:rsid w:val="05434365"/>
    <w:rsid w:val="06417FB8"/>
    <w:rsid w:val="069A3C9C"/>
    <w:rsid w:val="09F35534"/>
    <w:rsid w:val="0A2532F6"/>
    <w:rsid w:val="0CC52B01"/>
    <w:rsid w:val="0CE252F8"/>
    <w:rsid w:val="0D957982"/>
    <w:rsid w:val="0F712EE8"/>
    <w:rsid w:val="10C55238"/>
    <w:rsid w:val="11131F3A"/>
    <w:rsid w:val="12F7052D"/>
    <w:rsid w:val="18F45A5D"/>
    <w:rsid w:val="1FED713E"/>
    <w:rsid w:val="21AC7A5F"/>
    <w:rsid w:val="22AA02AA"/>
    <w:rsid w:val="2908254D"/>
    <w:rsid w:val="2BE04A70"/>
    <w:rsid w:val="2BF54C9E"/>
    <w:rsid w:val="316715E0"/>
    <w:rsid w:val="32F86C35"/>
    <w:rsid w:val="35782631"/>
    <w:rsid w:val="36392E68"/>
    <w:rsid w:val="3734104C"/>
    <w:rsid w:val="37D62316"/>
    <w:rsid w:val="3C2319C5"/>
    <w:rsid w:val="43D46156"/>
    <w:rsid w:val="4B442FD5"/>
    <w:rsid w:val="4BBF6F6E"/>
    <w:rsid w:val="51EA5672"/>
    <w:rsid w:val="58E931BE"/>
    <w:rsid w:val="5B827640"/>
    <w:rsid w:val="66474E2C"/>
    <w:rsid w:val="6A7032BF"/>
    <w:rsid w:val="73D0365F"/>
    <w:rsid w:val="76DA4805"/>
    <w:rsid w:val="7AC947A5"/>
    <w:rsid w:val="7D247AC7"/>
    <w:rsid w:val="7EE81BE1"/>
    <w:rsid w:val="7F0C2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nhideWhenUsed="0" w:uiPriority="0" w:semiHidden="0" w:name="Body Text Indent 2"/>
    <w:lsdException w:unhideWhenUsed="0" w:uiPriority="99" w:semiHidden="0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qFormat="1"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Times New Roman" w:cs="Times New Roman"/>
      <w:sz w:val="24"/>
      <w:szCs w:val="24"/>
      <w:lang w:val="en-US" w:eastAsia="pt-BR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</w:rPr>
  </w:style>
  <w:style w:type="character" w:default="1" w:styleId="9">
    <w:name w:val="Default Paragraph Font"/>
    <w:semiHidden/>
    <w:unhideWhenUsed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 2"/>
    <w:basedOn w:val="1"/>
    <w:link w:val="18"/>
    <w:uiPriority w:val="0"/>
    <w:pPr>
      <w:spacing w:after="120" w:line="480" w:lineRule="auto"/>
      <w:ind w:left="360"/>
    </w:pPr>
  </w:style>
  <w:style w:type="paragraph" w:styleId="4">
    <w:name w:val="Normal (Web)"/>
    <w:basedOn w:val="1"/>
    <w:uiPriority w:val="99"/>
    <w:pPr>
      <w:spacing w:before="100" w:beforeAutospacing="1" w:after="100" w:afterAutospacing="1"/>
    </w:pPr>
    <w:rPr>
      <w:color w:val="000000"/>
      <w:lang w:val="pt-BR"/>
    </w:rPr>
  </w:style>
  <w:style w:type="paragraph" w:styleId="5">
    <w:name w:val="footer"/>
    <w:basedOn w:val="1"/>
    <w:link w:val="14"/>
    <w:uiPriority w:val="0"/>
    <w:pPr>
      <w:tabs>
        <w:tab w:val="center" w:pos="4252"/>
        <w:tab w:val="right" w:pos="8504"/>
      </w:tabs>
    </w:pPr>
  </w:style>
  <w:style w:type="paragraph" w:styleId="6">
    <w:name w:val="Body Text Indent 3"/>
    <w:basedOn w:val="7"/>
    <w:next w:val="7"/>
    <w:link w:val="15"/>
    <w:uiPriority w:val="99"/>
    <w:rPr>
      <w:rFonts w:ascii="BILGOK+LucidaSansUnicode" w:hAnsi="BILGOK+LucidaSansUnicode"/>
      <w:color w:val="auto"/>
    </w:rPr>
  </w:style>
  <w:style w:type="paragraph" w:customStyle="1" w:styleId="7">
    <w:name w:val="Default"/>
    <w:qFormat/>
    <w:uiPriority w:val="0"/>
    <w:pPr>
      <w:autoSpaceDE w:val="0"/>
      <w:autoSpaceDN w:val="0"/>
      <w:adjustRightInd w:val="0"/>
      <w:spacing w:after="0" w:line="240" w:lineRule="auto"/>
    </w:pPr>
    <w:rPr>
      <w:rFonts w:ascii="Times New Roman" w:hAnsi="Times New Roman" w:eastAsia="Times New Roman" w:cs="Times New Roman"/>
      <w:color w:val="000000"/>
      <w:sz w:val="24"/>
      <w:szCs w:val="24"/>
      <w:lang w:val="pt-BR" w:eastAsia="pt-BR" w:bidi="ar-SA"/>
    </w:rPr>
  </w:style>
  <w:style w:type="paragraph" w:styleId="8">
    <w:name w:val="Balloon Text"/>
    <w:basedOn w:val="1"/>
    <w:link w:val="19"/>
    <w:semiHidden/>
    <w:unhideWhenUsed/>
    <w:qFormat/>
    <w:uiPriority w:val="99"/>
    <w:rPr>
      <w:rFonts w:ascii="Tahoma" w:hAnsi="Tahoma" w:cs="Tahoma"/>
      <w:sz w:val="16"/>
      <w:szCs w:val="16"/>
    </w:rPr>
  </w:style>
  <w:style w:type="character" w:styleId="10">
    <w:name w:val="HTML Cite"/>
    <w:basedOn w:val="9"/>
    <w:semiHidden/>
    <w:unhideWhenUsed/>
    <w:qFormat/>
    <w:uiPriority w:val="99"/>
    <w:rPr>
      <w:i/>
      <w:iCs/>
    </w:rPr>
  </w:style>
  <w:style w:type="character" w:styleId="11">
    <w:name w:val="Hyperlink"/>
    <w:basedOn w:val="9"/>
    <w:uiPriority w:val="0"/>
    <w:rPr>
      <w:color w:val="0000FF"/>
      <w:u w:val="single"/>
    </w:rPr>
  </w:style>
  <w:style w:type="character" w:styleId="12">
    <w:name w:val="page number"/>
    <w:basedOn w:val="9"/>
    <w:uiPriority w:val="0"/>
  </w:style>
  <w:style w:type="character" w:customStyle="1" w:styleId="14">
    <w:name w:val="Rodapé Char"/>
    <w:basedOn w:val="9"/>
    <w:link w:val="5"/>
    <w:qFormat/>
    <w:uiPriority w:val="0"/>
    <w:rPr>
      <w:rFonts w:ascii="Times New Roman" w:hAnsi="Times New Roman" w:eastAsia="Times New Roman" w:cs="Times New Roman"/>
      <w:sz w:val="24"/>
      <w:szCs w:val="24"/>
      <w:lang w:val="en-US" w:eastAsia="pt-BR"/>
    </w:rPr>
  </w:style>
  <w:style w:type="character" w:customStyle="1" w:styleId="15">
    <w:name w:val="Recuo de corpo de texto 3 Char"/>
    <w:basedOn w:val="9"/>
    <w:link w:val="6"/>
    <w:qFormat/>
    <w:uiPriority w:val="99"/>
    <w:rPr>
      <w:rFonts w:ascii="BILGOK+LucidaSansUnicode" w:hAnsi="BILGOK+LucidaSansUnicode" w:eastAsia="Times New Roman" w:cs="Times New Roman"/>
      <w:sz w:val="24"/>
      <w:szCs w:val="24"/>
      <w:lang w:eastAsia="pt-BR"/>
    </w:rPr>
  </w:style>
  <w:style w:type="paragraph" w:styleId="16">
    <w:name w:val="List Paragraph"/>
    <w:basedOn w:val="1"/>
    <w:qFormat/>
    <w:uiPriority w:val="34"/>
    <w:pPr>
      <w:ind w:left="720"/>
      <w:contextualSpacing/>
    </w:pPr>
  </w:style>
  <w:style w:type="character" w:customStyle="1" w:styleId="17">
    <w:name w:val="font201"/>
    <w:basedOn w:val="9"/>
    <w:qFormat/>
    <w:uiPriority w:val="0"/>
    <w:rPr>
      <w:sz w:val="30"/>
      <w:szCs w:val="30"/>
    </w:rPr>
  </w:style>
  <w:style w:type="character" w:customStyle="1" w:styleId="18">
    <w:name w:val="Recuo de corpo de texto 2 Char"/>
    <w:basedOn w:val="9"/>
    <w:link w:val="3"/>
    <w:qFormat/>
    <w:uiPriority w:val="0"/>
    <w:rPr>
      <w:rFonts w:ascii="Times New Roman" w:hAnsi="Times New Roman" w:eastAsia="Times New Roman" w:cs="Times New Roman"/>
      <w:sz w:val="24"/>
      <w:szCs w:val="24"/>
      <w:lang w:val="en-US" w:eastAsia="pt-BR"/>
    </w:rPr>
  </w:style>
  <w:style w:type="character" w:customStyle="1" w:styleId="19">
    <w:name w:val="Texto de balão Char"/>
    <w:basedOn w:val="9"/>
    <w:link w:val="8"/>
    <w:semiHidden/>
    <w:uiPriority w:val="99"/>
    <w:rPr>
      <w:rFonts w:ascii="Tahoma" w:hAnsi="Tahoma" w:eastAsia="Times New Roman" w:cs="Tahoma"/>
      <w:sz w:val="16"/>
      <w:szCs w:val="16"/>
      <w:lang w:val="en-US" w:eastAsia="pt-BR"/>
    </w:rPr>
  </w:style>
  <w:style w:type="character" w:customStyle="1" w:styleId="20">
    <w:name w:val="Título 1 Char"/>
    <w:basedOn w:val="9"/>
    <w:link w:val="2"/>
    <w:uiPriority w:val="9"/>
    <w:rPr>
      <w:rFonts w:asciiTheme="majorHAnsi" w:hAnsiTheme="majorHAnsi" w:eastAsiaTheme="majorEastAsia" w:cstheme="majorBidi"/>
      <w:b/>
      <w:bCs/>
      <w:color w:val="376092" w:themeColor="accent1" w:themeShade="BF"/>
      <w:sz w:val="28"/>
      <w:szCs w:val="28"/>
      <w:lang w:val="en-US" w:eastAsia="pt-B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0" Type="http://schemas.openxmlformats.org/officeDocument/2006/relationships/fontTable" Target="fontTable.xml"/><Relationship Id="rId3" Type="http://schemas.openxmlformats.org/officeDocument/2006/relationships/footer" Target="foot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2.emf"/><Relationship Id="rId26" Type="http://schemas.openxmlformats.org/officeDocument/2006/relationships/image" Target="media/image21.emf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emf"/><Relationship Id="rId22" Type="http://schemas.openxmlformats.org/officeDocument/2006/relationships/image" Target="media/image17.wmf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emf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emf"/><Relationship Id="rId12" Type="http://schemas.openxmlformats.org/officeDocument/2006/relationships/image" Target="media/image7.wmf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1561</Words>
  <Characters>8433</Characters>
  <Lines>70</Lines>
  <Paragraphs>19</Paragraphs>
  <TotalTime>290</TotalTime>
  <ScaleCrop>false</ScaleCrop>
  <LinksUpToDate>false</LinksUpToDate>
  <CharactersWithSpaces>9975</CharactersWithSpaces>
  <Application>WPS Office_11.2.0.9665_F1E327BC-269C-435d-A152-05C5408002CA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2010-03-24T18:44:00Z</dcterms:created>
  <dc:creator>Debora</dc:creator>
  <cp:lastModifiedBy>Debora</cp:lastModifiedBy>
  <dcterms:modified xsi:type="dcterms:W3CDTF">2020-09-10T18:17:54Z</dcterms:modified>
  <cp:revision>112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1046-11.2.0.9665</vt:lpwstr>
  </property>
</Properties>
</file>